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EE962" w14:textId="77777777" w:rsidR="006A261E" w:rsidRDefault="00935D1B">
      <w:pPr>
        <w:pBdr>
          <w:top w:val="nil"/>
          <w:left w:val="nil"/>
          <w:bottom w:val="nil"/>
          <w:right w:val="nil"/>
          <w:between w:val="nil"/>
        </w:pBdr>
        <w:shd w:val="clear" w:color="auto" w:fill="FFFFFF"/>
        <w:spacing w:before="200" w:after="0" w:line="240" w:lineRule="auto"/>
        <w:jc w:val="center"/>
        <w:rPr>
          <w:rFonts w:ascii="Times New Roman" w:eastAsia="Times New Roman" w:hAnsi="Times New Roman" w:cs="Times New Roman"/>
          <w:color w:val="000000"/>
          <w:sz w:val="24"/>
          <w:szCs w:val="24"/>
        </w:rPr>
      </w:pPr>
      <w:r>
        <w:rPr>
          <w:rFonts w:ascii="Arial" w:eastAsia="Arial" w:hAnsi="Arial" w:cs="Arial"/>
          <w:b/>
          <w:color w:val="222222"/>
        </w:rPr>
        <w:t>Steps to clean the staffing hours per resident day variables in the Biennial Survey of Long-Term Care Facilities Years 2007-2015</w:t>
      </w:r>
    </w:p>
    <w:p w14:paraId="56FC261F" w14:textId="77777777" w:rsidR="006A261E" w:rsidRDefault="00935D1B">
      <w:pPr>
        <w:pBdr>
          <w:top w:val="nil"/>
          <w:left w:val="nil"/>
          <w:bottom w:val="nil"/>
          <w:right w:val="nil"/>
          <w:between w:val="nil"/>
        </w:pBdr>
        <w:shd w:val="clear" w:color="auto" w:fill="FFFFFF"/>
        <w:spacing w:before="200"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224F6514" w14:textId="77777777" w:rsidR="006A261E" w:rsidRDefault="00935D1B">
      <w:pPr>
        <w:numPr>
          <w:ilvl w:val="0"/>
          <w:numId w:val="1"/>
        </w:numPr>
        <w:pBdr>
          <w:top w:val="nil"/>
          <w:left w:val="nil"/>
          <w:bottom w:val="nil"/>
          <w:right w:val="nil"/>
          <w:between w:val="nil"/>
        </w:pBdr>
        <w:shd w:val="clear" w:color="auto" w:fill="FFFFFF"/>
        <w:spacing w:before="200" w:after="0" w:line="240" w:lineRule="auto"/>
        <w:rPr>
          <w:rFonts w:ascii="Arial" w:eastAsia="Arial" w:hAnsi="Arial" w:cs="Arial"/>
          <w:b/>
          <w:color w:val="222222"/>
        </w:rPr>
      </w:pPr>
      <w:r>
        <w:rPr>
          <w:rFonts w:ascii="Arial" w:eastAsia="Arial" w:hAnsi="Arial" w:cs="Arial"/>
          <w:b/>
          <w:color w:val="222222"/>
        </w:rPr>
        <w:t>Clean resident census data:</w:t>
      </w:r>
      <w:r>
        <w:rPr>
          <w:rFonts w:ascii="Arial" w:eastAsia="Arial" w:hAnsi="Arial" w:cs="Arial"/>
          <w:color w:val="222222"/>
        </w:rPr>
        <w:t xml:space="preserve"> Resident </w:t>
      </w:r>
      <w:r>
        <w:rPr>
          <w:rFonts w:ascii="Arial" w:eastAsia="Arial" w:hAnsi="Arial" w:cs="Arial"/>
          <w:color w:val="222222"/>
        </w:rPr>
        <w:t xml:space="preserve">census data are derived from the following portion of the Biennial Survey of Long-Term Care Facilities. The screenshot is taken from the year 2015 of the survey. Administrators are requested to fill the average monthly number of residents in the residential care facility (Ohio’s term for assisted living communities). To create the denominator for measure of the number of staff per resident day, average number of residents in </w:t>
      </w:r>
      <w:proofErr w:type="gramStart"/>
      <w:r>
        <w:rPr>
          <w:rFonts w:ascii="Arial" w:eastAsia="Arial" w:hAnsi="Arial" w:cs="Arial"/>
          <w:color w:val="222222"/>
        </w:rPr>
        <w:t>all of</w:t>
      </w:r>
      <w:proofErr w:type="gramEnd"/>
      <w:r>
        <w:rPr>
          <w:rFonts w:ascii="Arial" w:eastAsia="Arial" w:hAnsi="Arial" w:cs="Arial"/>
          <w:color w:val="222222"/>
        </w:rPr>
        <w:t xml:space="preserve"> the months where there is no missing data. </w:t>
      </w:r>
    </w:p>
    <w:p w14:paraId="5AE586BB" w14:textId="77777777" w:rsidR="006A261E" w:rsidRDefault="00935D1B">
      <w:pPr>
        <w:pBdr>
          <w:top w:val="nil"/>
          <w:left w:val="nil"/>
          <w:bottom w:val="nil"/>
          <w:right w:val="nil"/>
          <w:between w:val="nil"/>
        </w:pBdr>
        <w:shd w:val="clear" w:color="auto" w:fill="FFFFFF"/>
        <w:spacing w:before="200" w:after="0" w:line="240" w:lineRule="auto"/>
        <w:rPr>
          <w:rFonts w:ascii="Arial" w:eastAsia="Arial" w:hAnsi="Arial" w:cs="Arial"/>
          <w:color w:val="222222"/>
        </w:rPr>
      </w:pPr>
      <w:r>
        <w:rPr>
          <w:rFonts w:ascii="Arial" w:eastAsia="Arial" w:hAnsi="Arial" w:cs="Arial"/>
          <w:noProof/>
          <w:color w:val="222222"/>
        </w:rPr>
        <w:drawing>
          <wp:inline distT="114300" distB="114300" distL="114300" distR="114300" wp14:anchorId="1A77C646" wp14:editId="7FFE3468">
            <wp:extent cx="5943600" cy="39624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943600" cy="3962400"/>
                    </a:xfrm>
                    <a:prstGeom prst="rect">
                      <a:avLst/>
                    </a:prstGeom>
                    <a:ln/>
                  </pic:spPr>
                </pic:pic>
              </a:graphicData>
            </a:graphic>
          </wp:inline>
        </w:drawing>
      </w:r>
    </w:p>
    <w:p w14:paraId="326EA54D" w14:textId="77777777" w:rsidR="006A261E" w:rsidRDefault="006A261E">
      <w:pPr>
        <w:pBdr>
          <w:top w:val="nil"/>
          <w:left w:val="nil"/>
          <w:bottom w:val="nil"/>
          <w:right w:val="nil"/>
          <w:between w:val="nil"/>
        </w:pBdr>
        <w:shd w:val="clear" w:color="auto" w:fill="FFFFFF"/>
        <w:spacing w:before="200" w:after="0" w:line="240" w:lineRule="auto"/>
        <w:rPr>
          <w:rFonts w:ascii="Arial" w:eastAsia="Arial" w:hAnsi="Arial" w:cs="Arial"/>
          <w:color w:val="222222"/>
        </w:rPr>
      </w:pPr>
    </w:p>
    <w:p w14:paraId="59C84DFE" w14:textId="77777777" w:rsidR="006A261E" w:rsidRDefault="00935D1B">
      <w:pPr>
        <w:shd w:val="clear" w:color="auto" w:fill="FFFFFF"/>
        <w:spacing w:before="200" w:after="0" w:line="240" w:lineRule="auto"/>
        <w:ind w:left="360"/>
        <w:rPr>
          <w:rFonts w:ascii="Arial" w:eastAsia="Arial" w:hAnsi="Arial" w:cs="Arial"/>
          <w:color w:val="222222"/>
        </w:rPr>
      </w:pPr>
      <w:r>
        <w:rPr>
          <w:rFonts w:ascii="Arial" w:eastAsia="Arial" w:hAnsi="Arial" w:cs="Arial"/>
          <w:color w:val="222222"/>
        </w:rPr>
        <w:t>Check for implausible values by following the steps below.</w:t>
      </w:r>
    </w:p>
    <w:p w14:paraId="7464ED00" w14:textId="77777777" w:rsidR="006A261E" w:rsidRDefault="00935D1B">
      <w:pPr>
        <w:numPr>
          <w:ilvl w:val="1"/>
          <w:numId w:val="1"/>
        </w:numPr>
        <w:pBdr>
          <w:top w:val="nil"/>
          <w:left w:val="nil"/>
          <w:bottom w:val="nil"/>
          <w:right w:val="nil"/>
          <w:between w:val="nil"/>
        </w:pBdr>
        <w:shd w:val="clear" w:color="auto" w:fill="FFFFFF"/>
        <w:spacing w:after="0" w:line="240" w:lineRule="auto"/>
        <w:rPr>
          <w:rFonts w:ascii="Arial" w:eastAsia="Arial" w:hAnsi="Arial" w:cs="Arial"/>
          <w:color w:val="222222"/>
        </w:rPr>
      </w:pPr>
      <w:r>
        <w:rPr>
          <w:rFonts w:ascii="Arial" w:eastAsia="Arial" w:hAnsi="Arial" w:cs="Arial"/>
          <w:color w:val="222222"/>
        </w:rPr>
        <w:t xml:space="preserve">If the number of residents is missing or 0, </w:t>
      </w:r>
      <w:r>
        <w:rPr>
          <w:rFonts w:ascii="Arial" w:eastAsia="Arial" w:hAnsi="Arial" w:cs="Arial"/>
          <w:color w:val="222222"/>
        </w:rPr>
        <w:t>check to see if we have data provided by Vital Research. Vital Research is a consulting company that Ohio contracts with to collect data. On one day, during the same year the Biennial Survey of Long-term Care Facilities is administered, a researcher from the consulting company counts the number of residents in the building of each assisted living community.</w:t>
      </w:r>
    </w:p>
    <w:p w14:paraId="5EE51022" w14:textId="77777777" w:rsidR="006A261E" w:rsidRDefault="00935D1B">
      <w:pPr>
        <w:numPr>
          <w:ilvl w:val="1"/>
          <w:numId w:val="1"/>
        </w:numPr>
        <w:pBdr>
          <w:top w:val="nil"/>
          <w:left w:val="nil"/>
          <w:bottom w:val="nil"/>
          <w:right w:val="nil"/>
          <w:between w:val="nil"/>
        </w:pBdr>
        <w:shd w:val="clear" w:color="auto" w:fill="FFFFFF"/>
        <w:spacing w:after="0" w:line="240" w:lineRule="auto"/>
        <w:rPr>
          <w:rFonts w:ascii="Arial" w:eastAsia="Arial" w:hAnsi="Arial" w:cs="Arial"/>
          <w:color w:val="222222"/>
        </w:rPr>
      </w:pPr>
      <w:r>
        <w:rPr>
          <w:rFonts w:ascii="Arial" w:eastAsia="Arial" w:hAnsi="Arial" w:cs="Arial"/>
          <w:color w:val="222222"/>
        </w:rPr>
        <w:t xml:space="preserve">If we have Vital Statistics data but not data from the Biennial Survey of </w:t>
      </w:r>
      <w:proofErr w:type="gramStart"/>
      <w:r>
        <w:rPr>
          <w:rFonts w:ascii="Arial" w:eastAsia="Arial" w:hAnsi="Arial" w:cs="Arial"/>
          <w:color w:val="222222"/>
        </w:rPr>
        <w:t>Long Term</w:t>
      </w:r>
      <w:proofErr w:type="gramEnd"/>
      <w:r>
        <w:rPr>
          <w:rFonts w:ascii="Arial" w:eastAsia="Arial" w:hAnsi="Arial" w:cs="Arial"/>
          <w:color w:val="222222"/>
        </w:rPr>
        <w:t xml:space="preserve"> Care Facilities, fill in the missing residents with data from Vital Research.</w:t>
      </w:r>
    </w:p>
    <w:p w14:paraId="14A8E15D" w14:textId="77777777" w:rsidR="006A261E" w:rsidRDefault="00935D1B">
      <w:pPr>
        <w:numPr>
          <w:ilvl w:val="1"/>
          <w:numId w:val="1"/>
        </w:numPr>
        <w:pBdr>
          <w:top w:val="nil"/>
          <w:left w:val="nil"/>
          <w:bottom w:val="nil"/>
          <w:right w:val="nil"/>
          <w:between w:val="nil"/>
        </w:pBdr>
        <w:shd w:val="clear" w:color="auto" w:fill="FFFFFF"/>
        <w:spacing w:after="0" w:line="240" w:lineRule="auto"/>
        <w:rPr>
          <w:rFonts w:ascii="Arial" w:eastAsia="Arial" w:hAnsi="Arial" w:cs="Arial"/>
          <w:color w:val="222222"/>
        </w:rPr>
      </w:pPr>
      <w:r>
        <w:rPr>
          <w:rFonts w:ascii="Arial" w:eastAsia="Arial" w:hAnsi="Arial" w:cs="Arial"/>
          <w:color w:val="222222"/>
        </w:rPr>
        <w:t>Check to see If the number of residents is greater than the</w:t>
      </w:r>
      <w:r>
        <w:rPr>
          <w:rFonts w:ascii="Arial" w:eastAsia="Arial" w:hAnsi="Arial" w:cs="Arial"/>
          <w:b/>
          <w:color w:val="222222"/>
        </w:rPr>
        <w:t xml:space="preserve"> number of </w:t>
      </w:r>
      <w:proofErr w:type="spellStart"/>
      <w:proofErr w:type="gramStart"/>
      <w:r>
        <w:rPr>
          <w:rFonts w:ascii="Arial" w:eastAsia="Arial" w:hAnsi="Arial" w:cs="Arial"/>
          <w:b/>
          <w:color w:val="222222"/>
        </w:rPr>
        <w:t>beds</w:t>
      </w:r>
      <w:r>
        <w:rPr>
          <w:rFonts w:ascii="Arial" w:eastAsia="Arial" w:hAnsi="Arial" w:cs="Arial"/>
          <w:color w:val="222222"/>
        </w:rPr>
        <w:t>.</w:t>
      </w:r>
      <w:r>
        <w:rPr>
          <w:rFonts w:ascii="Arial" w:eastAsia="Arial" w:hAnsi="Arial" w:cs="Arial"/>
          <w:color w:val="222222"/>
        </w:rPr>
        <w:t>The</w:t>
      </w:r>
      <w:proofErr w:type="spellEnd"/>
      <w:proofErr w:type="gramEnd"/>
      <w:r>
        <w:rPr>
          <w:rFonts w:ascii="Arial" w:eastAsia="Arial" w:hAnsi="Arial" w:cs="Arial"/>
          <w:color w:val="222222"/>
        </w:rPr>
        <w:t xml:space="preserve"> number of residents should not exceed the number of beds in an AL community.</w:t>
      </w:r>
    </w:p>
    <w:p w14:paraId="2DDA6DAD" w14:textId="77777777" w:rsidR="006A261E" w:rsidRDefault="00935D1B">
      <w:pPr>
        <w:pBdr>
          <w:top w:val="nil"/>
          <w:left w:val="nil"/>
          <w:bottom w:val="nil"/>
          <w:right w:val="nil"/>
          <w:between w:val="nil"/>
        </w:pBdr>
        <w:shd w:val="clear" w:color="auto" w:fill="FFFFFF"/>
        <w:spacing w:after="0" w:line="240" w:lineRule="auto"/>
        <w:ind w:left="720"/>
        <w:rPr>
          <w:rFonts w:ascii="Arial" w:eastAsia="Arial" w:hAnsi="Arial" w:cs="Arial"/>
          <w:color w:val="222222"/>
        </w:rPr>
      </w:pPr>
      <w:r>
        <w:rPr>
          <w:rFonts w:ascii="Arial" w:eastAsia="Arial" w:hAnsi="Arial" w:cs="Arial"/>
          <w:color w:val="222222"/>
        </w:rPr>
        <w:t>The number of beds is requested by the following question of the survey:</w:t>
      </w:r>
    </w:p>
    <w:p w14:paraId="2FAE44DD" w14:textId="77777777" w:rsidR="006A261E" w:rsidRDefault="00935D1B">
      <w:pPr>
        <w:pBdr>
          <w:top w:val="nil"/>
          <w:left w:val="nil"/>
          <w:bottom w:val="nil"/>
          <w:right w:val="nil"/>
          <w:between w:val="nil"/>
        </w:pBdr>
        <w:shd w:val="clear" w:color="auto" w:fill="FFFFFF"/>
        <w:spacing w:after="0" w:line="240" w:lineRule="auto"/>
        <w:ind w:left="720"/>
        <w:rPr>
          <w:rFonts w:ascii="Arial" w:eastAsia="Arial" w:hAnsi="Arial" w:cs="Arial"/>
          <w:color w:val="222222"/>
        </w:rPr>
      </w:pPr>
      <w:r>
        <w:rPr>
          <w:rFonts w:ascii="Arial" w:eastAsia="Arial" w:hAnsi="Arial" w:cs="Arial"/>
          <w:noProof/>
          <w:color w:val="222222"/>
        </w:rPr>
        <w:lastRenderedPageBreak/>
        <w:drawing>
          <wp:inline distT="114300" distB="114300" distL="114300" distR="114300" wp14:anchorId="562D76D6" wp14:editId="2934CFBA">
            <wp:extent cx="5943600" cy="10287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1028700"/>
                    </a:xfrm>
                    <a:prstGeom prst="rect">
                      <a:avLst/>
                    </a:prstGeom>
                    <a:ln/>
                  </pic:spPr>
                </pic:pic>
              </a:graphicData>
            </a:graphic>
          </wp:inline>
        </w:drawing>
      </w:r>
    </w:p>
    <w:p w14:paraId="4B94A2E8" w14:textId="77777777" w:rsidR="006A261E" w:rsidRDefault="00935D1B">
      <w:pPr>
        <w:pBdr>
          <w:top w:val="nil"/>
          <w:left w:val="nil"/>
          <w:bottom w:val="nil"/>
          <w:right w:val="nil"/>
          <w:between w:val="nil"/>
        </w:pBdr>
        <w:shd w:val="clear" w:color="auto" w:fill="FFFFFF"/>
        <w:spacing w:after="0" w:line="240" w:lineRule="auto"/>
        <w:rPr>
          <w:rFonts w:ascii="Arial" w:eastAsia="Arial" w:hAnsi="Arial" w:cs="Arial"/>
          <w:color w:val="222222"/>
        </w:rPr>
      </w:pPr>
      <w:r>
        <w:rPr>
          <w:rFonts w:ascii="Arial" w:eastAsia="Arial" w:hAnsi="Arial" w:cs="Arial"/>
          <w:color w:val="222222"/>
        </w:rPr>
        <w:t xml:space="preserve"> </w:t>
      </w:r>
    </w:p>
    <w:p w14:paraId="203A8935"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If the number of residents is greater than the number of beds, check whether the administrator added up the average daily census over the days of the </w:t>
      </w:r>
      <w:proofErr w:type="gramStart"/>
      <w:r>
        <w:rPr>
          <w:rFonts w:ascii="Arial" w:eastAsia="Arial" w:hAnsi="Arial" w:cs="Arial"/>
          <w:color w:val="222222"/>
        </w:rPr>
        <w:t>month</w:t>
      </w:r>
      <w:proofErr w:type="gramEnd"/>
    </w:p>
    <w:p w14:paraId="00AE7174"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If the number of residents is greater than the number of beds by a factor of more than </w:t>
      </w:r>
      <w:r>
        <w:rPr>
          <w:rFonts w:ascii="Arial" w:eastAsia="Arial" w:hAnsi="Arial" w:cs="Arial"/>
          <w:color w:val="222222"/>
        </w:rPr>
        <w:t>15</w:t>
      </w:r>
      <w:r>
        <w:rPr>
          <w:rFonts w:ascii="Arial" w:eastAsia="Arial" w:hAnsi="Arial" w:cs="Arial"/>
          <w:color w:val="222222"/>
        </w:rPr>
        <w:t>, then we assume that the administrator summed the average daily census over the days of the month. We chose the number 1</w:t>
      </w:r>
      <w:r>
        <w:rPr>
          <w:rFonts w:ascii="Arial" w:eastAsia="Arial" w:hAnsi="Arial" w:cs="Arial"/>
          <w:color w:val="222222"/>
        </w:rPr>
        <w:t xml:space="preserve">5 </w:t>
      </w:r>
      <w:r>
        <w:rPr>
          <w:rFonts w:ascii="Arial" w:eastAsia="Arial" w:hAnsi="Arial" w:cs="Arial"/>
          <w:color w:val="222222"/>
        </w:rPr>
        <w:t>because it assumes approximately a 50% occupancy rate (</w:t>
      </w:r>
      <w:r>
        <w:rPr>
          <w:rFonts w:ascii="Arial" w:eastAsia="Arial" w:hAnsi="Arial" w:cs="Arial"/>
          <w:color w:val="222222"/>
        </w:rPr>
        <w:t>a flag for an unusually low occupancy rate</w:t>
      </w:r>
      <w:r>
        <w:rPr>
          <w:rFonts w:ascii="Arial" w:eastAsia="Arial" w:hAnsi="Arial" w:cs="Arial"/>
          <w:color w:val="222222"/>
        </w:rPr>
        <w:t>) in</w:t>
      </w:r>
      <w:r>
        <w:rPr>
          <w:rFonts w:ascii="Arial" w:eastAsia="Arial" w:hAnsi="Arial" w:cs="Arial"/>
          <w:color w:val="222222"/>
        </w:rPr>
        <w:t xml:space="preserve"> the month. If the administrator summed the average daily census over the days of the month, d</w:t>
      </w:r>
      <w:r>
        <w:rPr>
          <w:rFonts w:ascii="Arial" w:eastAsia="Arial" w:hAnsi="Arial" w:cs="Arial"/>
          <w:color w:val="222222"/>
        </w:rPr>
        <w:t>ivide the number of residents by 30.5.</w:t>
      </w:r>
    </w:p>
    <w:p w14:paraId="3F430F49" w14:textId="77777777" w:rsidR="006A261E" w:rsidRDefault="00935D1B">
      <w:pPr>
        <w:pBdr>
          <w:top w:val="nil"/>
          <w:left w:val="nil"/>
          <w:bottom w:val="nil"/>
          <w:right w:val="nil"/>
          <w:between w:val="nil"/>
        </w:pBdr>
        <w:spacing w:after="0"/>
        <w:ind w:left="1080"/>
        <w:rPr>
          <w:rFonts w:ascii="Arial" w:eastAsia="Arial" w:hAnsi="Arial" w:cs="Arial"/>
          <w:color w:val="222222"/>
        </w:rPr>
      </w:pPr>
      <w:r>
        <w:rPr>
          <w:rFonts w:ascii="Arial" w:eastAsia="Arial" w:hAnsi="Arial" w:cs="Arial"/>
          <w:color w:val="222222"/>
        </w:rPr>
        <w:t>Examples of values imputed are below:</w:t>
      </w:r>
    </w:p>
    <w:p w14:paraId="0AAE3A71" w14:textId="77777777" w:rsidR="006A261E" w:rsidRDefault="006A261E">
      <w:pPr>
        <w:pBdr>
          <w:top w:val="nil"/>
          <w:left w:val="nil"/>
          <w:bottom w:val="nil"/>
          <w:right w:val="nil"/>
          <w:between w:val="nil"/>
        </w:pBdr>
        <w:spacing w:after="0"/>
        <w:ind w:left="1080"/>
        <w:rPr>
          <w:rFonts w:ascii="Arial" w:eastAsia="Arial" w:hAnsi="Arial" w:cs="Arial"/>
          <w:color w:val="222222"/>
        </w:rPr>
      </w:pPr>
    </w:p>
    <w:tbl>
      <w:tblPr>
        <w:tblStyle w:val="a"/>
        <w:tblW w:w="8280"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2760"/>
        <w:gridCol w:w="2760"/>
      </w:tblGrid>
      <w:tr w:rsidR="006A261E" w14:paraId="62DF8A70" w14:textId="77777777">
        <w:tc>
          <w:tcPr>
            <w:tcW w:w="2760" w:type="dxa"/>
            <w:tcMar>
              <w:top w:w="100" w:type="dxa"/>
              <w:left w:w="100" w:type="dxa"/>
              <w:bottom w:w="100" w:type="dxa"/>
              <w:right w:w="100" w:type="dxa"/>
            </w:tcMar>
          </w:tcPr>
          <w:p w14:paraId="5904B49A"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Administrator reported resident census</w:t>
            </w:r>
          </w:p>
        </w:tc>
        <w:tc>
          <w:tcPr>
            <w:tcW w:w="2760" w:type="dxa"/>
            <w:tcMar>
              <w:top w:w="100" w:type="dxa"/>
              <w:left w:w="100" w:type="dxa"/>
              <w:bottom w:w="100" w:type="dxa"/>
              <w:right w:w="100" w:type="dxa"/>
            </w:tcMar>
          </w:tcPr>
          <w:p w14:paraId="24915096"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Administrator reported licensed beds</w:t>
            </w:r>
          </w:p>
        </w:tc>
        <w:tc>
          <w:tcPr>
            <w:tcW w:w="2760" w:type="dxa"/>
            <w:shd w:val="clear" w:color="auto" w:fill="auto"/>
            <w:tcMar>
              <w:top w:w="100" w:type="dxa"/>
              <w:left w:w="100" w:type="dxa"/>
              <w:bottom w:w="100" w:type="dxa"/>
              <w:right w:w="100" w:type="dxa"/>
            </w:tcMar>
          </w:tcPr>
          <w:p w14:paraId="75CD5FC2"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Corrected resident census</w:t>
            </w:r>
          </w:p>
        </w:tc>
      </w:tr>
      <w:tr w:rsidR="006A261E" w14:paraId="4BE4A2AE" w14:textId="77777777">
        <w:tc>
          <w:tcPr>
            <w:tcW w:w="2760" w:type="dxa"/>
            <w:tcMar>
              <w:top w:w="100" w:type="dxa"/>
              <w:left w:w="100" w:type="dxa"/>
              <w:bottom w:w="100" w:type="dxa"/>
              <w:right w:w="100" w:type="dxa"/>
            </w:tcMar>
          </w:tcPr>
          <w:p w14:paraId="34CED95C"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408.75</w:t>
            </w:r>
          </w:p>
        </w:tc>
        <w:tc>
          <w:tcPr>
            <w:tcW w:w="2760" w:type="dxa"/>
            <w:tcMar>
              <w:top w:w="100" w:type="dxa"/>
              <w:left w:w="100" w:type="dxa"/>
              <w:bottom w:w="100" w:type="dxa"/>
              <w:right w:w="100" w:type="dxa"/>
            </w:tcMar>
          </w:tcPr>
          <w:p w14:paraId="7E755CC2"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22</w:t>
            </w:r>
          </w:p>
        </w:tc>
        <w:tc>
          <w:tcPr>
            <w:tcW w:w="2760" w:type="dxa"/>
            <w:shd w:val="clear" w:color="auto" w:fill="auto"/>
            <w:tcMar>
              <w:top w:w="100" w:type="dxa"/>
              <w:left w:w="100" w:type="dxa"/>
              <w:bottom w:w="100" w:type="dxa"/>
              <w:right w:w="100" w:type="dxa"/>
            </w:tcMar>
          </w:tcPr>
          <w:p w14:paraId="77748379"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13</w:t>
            </w:r>
          </w:p>
        </w:tc>
      </w:tr>
      <w:tr w:rsidR="006A261E" w14:paraId="6CFEE5AC" w14:textId="77777777">
        <w:tc>
          <w:tcPr>
            <w:tcW w:w="2760" w:type="dxa"/>
            <w:tcMar>
              <w:top w:w="100" w:type="dxa"/>
              <w:left w:w="100" w:type="dxa"/>
              <w:bottom w:w="100" w:type="dxa"/>
              <w:right w:w="100" w:type="dxa"/>
            </w:tcMar>
          </w:tcPr>
          <w:p w14:paraId="1D41D271"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452.08</w:t>
            </w:r>
          </w:p>
        </w:tc>
        <w:tc>
          <w:tcPr>
            <w:tcW w:w="2760" w:type="dxa"/>
            <w:tcMar>
              <w:top w:w="100" w:type="dxa"/>
              <w:left w:w="100" w:type="dxa"/>
              <w:bottom w:w="100" w:type="dxa"/>
              <w:right w:w="100" w:type="dxa"/>
            </w:tcMar>
          </w:tcPr>
          <w:p w14:paraId="0132FBBE"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20</w:t>
            </w:r>
          </w:p>
        </w:tc>
        <w:tc>
          <w:tcPr>
            <w:tcW w:w="2760" w:type="dxa"/>
            <w:tcMar>
              <w:top w:w="100" w:type="dxa"/>
              <w:left w:w="100" w:type="dxa"/>
              <w:bottom w:w="100" w:type="dxa"/>
              <w:right w:w="100" w:type="dxa"/>
            </w:tcMar>
          </w:tcPr>
          <w:p w14:paraId="1BF04E77"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15</w:t>
            </w:r>
          </w:p>
        </w:tc>
      </w:tr>
      <w:tr w:rsidR="006A261E" w14:paraId="193CE6BF" w14:textId="77777777">
        <w:tc>
          <w:tcPr>
            <w:tcW w:w="2760" w:type="dxa"/>
            <w:tcMar>
              <w:top w:w="100" w:type="dxa"/>
              <w:left w:w="100" w:type="dxa"/>
              <w:bottom w:w="100" w:type="dxa"/>
              <w:right w:w="100" w:type="dxa"/>
            </w:tcMar>
          </w:tcPr>
          <w:p w14:paraId="09BDF6E7"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2235.17</w:t>
            </w:r>
          </w:p>
        </w:tc>
        <w:tc>
          <w:tcPr>
            <w:tcW w:w="2760" w:type="dxa"/>
            <w:tcMar>
              <w:top w:w="100" w:type="dxa"/>
              <w:left w:w="100" w:type="dxa"/>
              <w:bottom w:w="100" w:type="dxa"/>
              <w:right w:w="100" w:type="dxa"/>
            </w:tcMar>
          </w:tcPr>
          <w:p w14:paraId="57B5BE1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95</w:t>
            </w:r>
          </w:p>
        </w:tc>
        <w:tc>
          <w:tcPr>
            <w:tcW w:w="2760" w:type="dxa"/>
            <w:tcMar>
              <w:top w:w="100" w:type="dxa"/>
              <w:left w:w="100" w:type="dxa"/>
              <w:bottom w:w="100" w:type="dxa"/>
              <w:right w:w="100" w:type="dxa"/>
            </w:tcMar>
          </w:tcPr>
          <w:p w14:paraId="7249EE03"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73</w:t>
            </w:r>
          </w:p>
        </w:tc>
      </w:tr>
      <w:tr w:rsidR="006A261E" w14:paraId="35BBA7A9" w14:textId="77777777">
        <w:tc>
          <w:tcPr>
            <w:tcW w:w="2760" w:type="dxa"/>
            <w:tcMar>
              <w:top w:w="100" w:type="dxa"/>
              <w:left w:w="100" w:type="dxa"/>
              <w:bottom w:w="100" w:type="dxa"/>
              <w:right w:w="100" w:type="dxa"/>
            </w:tcMar>
          </w:tcPr>
          <w:p w14:paraId="506CF86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1001.67</w:t>
            </w:r>
          </w:p>
        </w:tc>
        <w:tc>
          <w:tcPr>
            <w:tcW w:w="2760" w:type="dxa"/>
            <w:tcMar>
              <w:top w:w="100" w:type="dxa"/>
              <w:left w:w="100" w:type="dxa"/>
              <w:bottom w:w="100" w:type="dxa"/>
              <w:right w:w="100" w:type="dxa"/>
            </w:tcMar>
          </w:tcPr>
          <w:p w14:paraId="7F81E758"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42</w:t>
            </w:r>
          </w:p>
        </w:tc>
        <w:tc>
          <w:tcPr>
            <w:tcW w:w="2760" w:type="dxa"/>
            <w:tcMar>
              <w:top w:w="100" w:type="dxa"/>
              <w:left w:w="100" w:type="dxa"/>
              <w:bottom w:w="100" w:type="dxa"/>
              <w:right w:w="100" w:type="dxa"/>
            </w:tcMar>
          </w:tcPr>
          <w:p w14:paraId="35952510"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33</w:t>
            </w:r>
          </w:p>
        </w:tc>
      </w:tr>
      <w:tr w:rsidR="006A261E" w14:paraId="77A0A3B3" w14:textId="77777777">
        <w:tc>
          <w:tcPr>
            <w:tcW w:w="2760" w:type="dxa"/>
            <w:tcMar>
              <w:top w:w="100" w:type="dxa"/>
              <w:left w:w="100" w:type="dxa"/>
              <w:bottom w:w="100" w:type="dxa"/>
              <w:right w:w="100" w:type="dxa"/>
            </w:tcMar>
          </w:tcPr>
          <w:p w14:paraId="7B1BD7DB"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829.58</w:t>
            </w:r>
          </w:p>
        </w:tc>
        <w:tc>
          <w:tcPr>
            <w:tcW w:w="2760" w:type="dxa"/>
            <w:tcMar>
              <w:top w:w="100" w:type="dxa"/>
              <w:left w:w="100" w:type="dxa"/>
              <w:bottom w:w="100" w:type="dxa"/>
              <w:right w:w="100" w:type="dxa"/>
            </w:tcMar>
          </w:tcPr>
          <w:p w14:paraId="7634E81D"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37</w:t>
            </w:r>
          </w:p>
        </w:tc>
        <w:tc>
          <w:tcPr>
            <w:tcW w:w="2760" w:type="dxa"/>
            <w:tcMar>
              <w:top w:w="100" w:type="dxa"/>
              <w:left w:w="100" w:type="dxa"/>
              <w:bottom w:w="100" w:type="dxa"/>
              <w:right w:w="100" w:type="dxa"/>
            </w:tcMar>
          </w:tcPr>
          <w:p w14:paraId="66B98E9A"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27</w:t>
            </w:r>
          </w:p>
        </w:tc>
      </w:tr>
    </w:tbl>
    <w:p w14:paraId="68B51099" w14:textId="77777777" w:rsidR="006A261E" w:rsidRDefault="00935D1B">
      <w:p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   </w:t>
      </w:r>
    </w:p>
    <w:p w14:paraId="054AA01E" w14:textId="77777777" w:rsidR="006A261E" w:rsidRDefault="00935D1B">
      <w:p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   e)  Examine if there are facilities with a greater number of residents than beds</w:t>
      </w:r>
      <w:r>
        <w:rPr>
          <w:rFonts w:ascii="Arial" w:eastAsia="Arial" w:hAnsi="Arial" w:cs="Arial"/>
          <w:color w:val="222222"/>
        </w:rPr>
        <w:t xml:space="preserve">. </w:t>
      </w:r>
    </w:p>
    <w:p w14:paraId="1AED4CE8" w14:textId="77777777" w:rsidR="006A261E" w:rsidRDefault="00935D1B">
      <w:pPr>
        <w:pBdr>
          <w:top w:val="nil"/>
          <w:left w:val="nil"/>
          <w:bottom w:val="nil"/>
          <w:right w:val="nil"/>
          <w:between w:val="nil"/>
        </w:pBdr>
        <w:spacing w:after="0"/>
        <w:ind w:firstLine="720"/>
        <w:rPr>
          <w:rFonts w:ascii="Arial" w:eastAsia="Arial" w:hAnsi="Arial" w:cs="Arial"/>
          <w:color w:val="222222"/>
        </w:rPr>
      </w:pPr>
      <w:r>
        <w:rPr>
          <w:rFonts w:ascii="Arial" w:eastAsia="Arial" w:hAnsi="Arial" w:cs="Arial"/>
          <w:color w:val="222222"/>
        </w:rPr>
        <w:t xml:space="preserve"> i) If the number of residents is more than twice the number of beds, exclude the  </w:t>
      </w:r>
    </w:p>
    <w:p w14:paraId="1CAC27FD" w14:textId="77777777" w:rsidR="006A261E" w:rsidRDefault="00935D1B">
      <w:pPr>
        <w:pBdr>
          <w:top w:val="nil"/>
          <w:left w:val="nil"/>
          <w:bottom w:val="nil"/>
          <w:right w:val="nil"/>
          <w:between w:val="nil"/>
        </w:pBdr>
        <w:spacing w:after="0"/>
        <w:ind w:left="720"/>
        <w:rPr>
          <w:rFonts w:ascii="Arial" w:eastAsia="Arial" w:hAnsi="Arial" w:cs="Arial"/>
          <w:color w:val="222222"/>
        </w:rPr>
      </w:pPr>
      <w:r>
        <w:rPr>
          <w:rFonts w:ascii="Arial" w:eastAsia="Arial" w:hAnsi="Arial" w:cs="Arial"/>
          <w:color w:val="222222"/>
        </w:rPr>
        <w:t>facility. This represents an implausible value. The administrator likely reported for other units in their facility (e.g., nursing home beds). They likely also included nurses from their nursing homes in their staffing data.</w:t>
      </w:r>
    </w:p>
    <w:p w14:paraId="1386E83C" w14:textId="77777777" w:rsidR="006A261E" w:rsidRDefault="00935D1B">
      <w:pPr>
        <w:pBdr>
          <w:top w:val="nil"/>
          <w:left w:val="nil"/>
          <w:bottom w:val="nil"/>
          <w:right w:val="nil"/>
          <w:between w:val="nil"/>
        </w:pBdr>
        <w:spacing w:after="0"/>
        <w:ind w:left="720"/>
        <w:rPr>
          <w:rFonts w:ascii="Arial" w:eastAsia="Arial" w:hAnsi="Arial" w:cs="Arial"/>
          <w:color w:val="222222"/>
        </w:rPr>
      </w:pPr>
      <w:r>
        <w:rPr>
          <w:rFonts w:ascii="Arial" w:eastAsia="Arial" w:hAnsi="Arial" w:cs="Arial"/>
          <w:color w:val="222222"/>
        </w:rPr>
        <w:t xml:space="preserve">ii) If the number of residents is less than twice the number of beds, keep the administrator's reported census on the assumption that some beds may be double occupancy units. Examples of </w:t>
      </w:r>
      <w:proofErr w:type="spellStart"/>
      <w:r>
        <w:rPr>
          <w:rFonts w:ascii="Arial" w:eastAsia="Arial" w:hAnsi="Arial" w:cs="Arial"/>
          <w:color w:val="222222"/>
        </w:rPr>
        <w:t>ei</w:t>
      </w:r>
      <w:proofErr w:type="spellEnd"/>
      <w:r>
        <w:rPr>
          <w:rFonts w:ascii="Arial" w:eastAsia="Arial" w:hAnsi="Arial" w:cs="Arial"/>
          <w:color w:val="222222"/>
        </w:rPr>
        <w:t xml:space="preserve">. and </w:t>
      </w:r>
      <w:proofErr w:type="spellStart"/>
      <w:r>
        <w:rPr>
          <w:rFonts w:ascii="Arial" w:eastAsia="Arial" w:hAnsi="Arial" w:cs="Arial"/>
          <w:color w:val="222222"/>
        </w:rPr>
        <w:t>eii</w:t>
      </w:r>
      <w:proofErr w:type="spellEnd"/>
      <w:r>
        <w:rPr>
          <w:rFonts w:ascii="Arial" w:eastAsia="Arial" w:hAnsi="Arial" w:cs="Arial"/>
          <w:color w:val="222222"/>
        </w:rPr>
        <w:t>. are below.</w:t>
      </w:r>
    </w:p>
    <w:p w14:paraId="3987F8AD" w14:textId="77777777" w:rsidR="006A261E" w:rsidRDefault="006A261E">
      <w:pPr>
        <w:spacing w:after="0"/>
        <w:ind w:left="1080" w:hanging="1170"/>
        <w:rPr>
          <w:rFonts w:ascii="Arial" w:eastAsia="Arial" w:hAnsi="Arial" w:cs="Arial"/>
          <w:color w:val="222222"/>
        </w:rPr>
      </w:pPr>
    </w:p>
    <w:tbl>
      <w:tblPr>
        <w:tblStyle w:val="a0"/>
        <w:tblW w:w="8190"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2730"/>
        <w:gridCol w:w="2730"/>
      </w:tblGrid>
      <w:tr w:rsidR="006A261E" w14:paraId="745B3FE4" w14:textId="77777777">
        <w:tc>
          <w:tcPr>
            <w:tcW w:w="2730" w:type="dxa"/>
            <w:tcMar>
              <w:top w:w="100" w:type="dxa"/>
              <w:left w:w="100" w:type="dxa"/>
              <w:bottom w:w="100" w:type="dxa"/>
              <w:right w:w="100" w:type="dxa"/>
            </w:tcMar>
          </w:tcPr>
          <w:p w14:paraId="305BC523"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Administrator reported resident census averaged over 12 months</w:t>
            </w:r>
          </w:p>
        </w:tc>
        <w:tc>
          <w:tcPr>
            <w:tcW w:w="2730" w:type="dxa"/>
            <w:tcMar>
              <w:top w:w="100" w:type="dxa"/>
              <w:left w:w="100" w:type="dxa"/>
              <w:bottom w:w="100" w:type="dxa"/>
              <w:right w:w="100" w:type="dxa"/>
            </w:tcMar>
          </w:tcPr>
          <w:p w14:paraId="4BA6A3B6"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Administrator reported licensed beds</w:t>
            </w:r>
          </w:p>
        </w:tc>
        <w:tc>
          <w:tcPr>
            <w:tcW w:w="2730" w:type="dxa"/>
            <w:tcMar>
              <w:top w:w="100" w:type="dxa"/>
              <w:left w:w="100" w:type="dxa"/>
              <w:bottom w:w="100" w:type="dxa"/>
              <w:right w:w="100" w:type="dxa"/>
            </w:tcMar>
          </w:tcPr>
          <w:p w14:paraId="52E34858"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Included or excluded</w:t>
            </w:r>
          </w:p>
        </w:tc>
      </w:tr>
      <w:tr w:rsidR="006A261E" w14:paraId="13E01EB8" w14:textId="77777777">
        <w:tc>
          <w:tcPr>
            <w:tcW w:w="2730" w:type="dxa"/>
            <w:tcMar>
              <w:top w:w="100" w:type="dxa"/>
              <w:left w:w="100" w:type="dxa"/>
              <w:bottom w:w="100" w:type="dxa"/>
              <w:right w:w="100" w:type="dxa"/>
            </w:tcMar>
          </w:tcPr>
          <w:p w14:paraId="6BAF0B8E"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92.25</w:t>
            </w:r>
          </w:p>
        </w:tc>
        <w:tc>
          <w:tcPr>
            <w:tcW w:w="2730" w:type="dxa"/>
            <w:tcMar>
              <w:top w:w="100" w:type="dxa"/>
              <w:left w:w="100" w:type="dxa"/>
              <w:bottom w:w="100" w:type="dxa"/>
              <w:right w:w="100" w:type="dxa"/>
            </w:tcMar>
          </w:tcPr>
          <w:p w14:paraId="355B3EFF"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34</w:t>
            </w:r>
          </w:p>
        </w:tc>
        <w:tc>
          <w:tcPr>
            <w:tcW w:w="2730" w:type="dxa"/>
            <w:tcMar>
              <w:top w:w="100" w:type="dxa"/>
              <w:left w:w="100" w:type="dxa"/>
              <w:bottom w:w="100" w:type="dxa"/>
              <w:right w:w="100" w:type="dxa"/>
            </w:tcMar>
          </w:tcPr>
          <w:p w14:paraId="088C9295"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Excluded</w:t>
            </w:r>
          </w:p>
        </w:tc>
      </w:tr>
      <w:tr w:rsidR="006A261E" w14:paraId="122B44D1" w14:textId="77777777">
        <w:tc>
          <w:tcPr>
            <w:tcW w:w="2730" w:type="dxa"/>
            <w:tcMar>
              <w:top w:w="100" w:type="dxa"/>
              <w:left w:w="100" w:type="dxa"/>
              <w:bottom w:w="100" w:type="dxa"/>
              <w:right w:w="100" w:type="dxa"/>
            </w:tcMar>
          </w:tcPr>
          <w:p w14:paraId="1807425A"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72.5000</w:t>
            </w:r>
          </w:p>
        </w:tc>
        <w:tc>
          <w:tcPr>
            <w:tcW w:w="2730" w:type="dxa"/>
            <w:tcMar>
              <w:top w:w="100" w:type="dxa"/>
              <w:left w:w="100" w:type="dxa"/>
              <w:bottom w:w="100" w:type="dxa"/>
              <w:right w:w="100" w:type="dxa"/>
            </w:tcMar>
          </w:tcPr>
          <w:p w14:paraId="69893170"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72</w:t>
            </w:r>
          </w:p>
        </w:tc>
        <w:tc>
          <w:tcPr>
            <w:tcW w:w="2730" w:type="dxa"/>
            <w:tcMar>
              <w:top w:w="100" w:type="dxa"/>
              <w:left w:w="100" w:type="dxa"/>
              <w:bottom w:w="100" w:type="dxa"/>
              <w:right w:w="100" w:type="dxa"/>
            </w:tcMar>
          </w:tcPr>
          <w:p w14:paraId="4F3A7F1C"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Included</w:t>
            </w:r>
          </w:p>
        </w:tc>
      </w:tr>
      <w:tr w:rsidR="006A261E" w14:paraId="0834B59A" w14:textId="77777777">
        <w:tc>
          <w:tcPr>
            <w:tcW w:w="2730" w:type="dxa"/>
            <w:tcMar>
              <w:top w:w="100" w:type="dxa"/>
              <w:left w:w="100" w:type="dxa"/>
              <w:bottom w:w="100" w:type="dxa"/>
              <w:right w:w="100" w:type="dxa"/>
            </w:tcMar>
          </w:tcPr>
          <w:p w14:paraId="20FBD221"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59.2500</w:t>
            </w:r>
          </w:p>
        </w:tc>
        <w:tc>
          <w:tcPr>
            <w:tcW w:w="2730" w:type="dxa"/>
            <w:tcMar>
              <w:top w:w="100" w:type="dxa"/>
              <w:left w:w="100" w:type="dxa"/>
              <w:bottom w:w="100" w:type="dxa"/>
              <w:right w:w="100" w:type="dxa"/>
            </w:tcMar>
          </w:tcPr>
          <w:p w14:paraId="77B90B69"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58</w:t>
            </w:r>
          </w:p>
        </w:tc>
        <w:tc>
          <w:tcPr>
            <w:tcW w:w="2730" w:type="dxa"/>
            <w:tcMar>
              <w:top w:w="100" w:type="dxa"/>
              <w:left w:w="100" w:type="dxa"/>
              <w:bottom w:w="100" w:type="dxa"/>
              <w:right w:w="100" w:type="dxa"/>
            </w:tcMar>
          </w:tcPr>
          <w:p w14:paraId="10F7A9AB"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Included</w:t>
            </w:r>
          </w:p>
        </w:tc>
      </w:tr>
      <w:tr w:rsidR="006A261E" w14:paraId="3822EBD9" w14:textId="77777777">
        <w:tc>
          <w:tcPr>
            <w:tcW w:w="2730" w:type="dxa"/>
            <w:tcMar>
              <w:top w:w="100" w:type="dxa"/>
              <w:left w:w="100" w:type="dxa"/>
              <w:bottom w:w="100" w:type="dxa"/>
              <w:right w:w="100" w:type="dxa"/>
            </w:tcMar>
          </w:tcPr>
          <w:p w14:paraId="69279C6D"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lastRenderedPageBreak/>
              <w:t>95.1667</w:t>
            </w:r>
          </w:p>
        </w:tc>
        <w:tc>
          <w:tcPr>
            <w:tcW w:w="2730" w:type="dxa"/>
            <w:tcMar>
              <w:top w:w="100" w:type="dxa"/>
              <w:left w:w="100" w:type="dxa"/>
              <w:bottom w:w="100" w:type="dxa"/>
              <w:right w:w="100" w:type="dxa"/>
            </w:tcMar>
          </w:tcPr>
          <w:p w14:paraId="2FA8E661"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83</w:t>
            </w:r>
          </w:p>
        </w:tc>
        <w:tc>
          <w:tcPr>
            <w:tcW w:w="2730" w:type="dxa"/>
            <w:tcMar>
              <w:top w:w="100" w:type="dxa"/>
              <w:left w:w="100" w:type="dxa"/>
              <w:bottom w:w="100" w:type="dxa"/>
              <w:right w:w="100" w:type="dxa"/>
            </w:tcMar>
          </w:tcPr>
          <w:p w14:paraId="7D9AD679"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Included</w:t>
            </w:r>
          </w:p>
        </w:tc>
      </w:tr>
    </w:tbl>
    <w:p w14:paraId="2EBEC278" w14:textId="77777777" w:rsidR="006A261E" w:rsidRDefault="006A261E">
      <w:pPr>
        <w:spacing w:after="0"/>
        <w:rPr>
          <w:rFonts w:ascii="Arial" w:eastAsia="Arial" w:hAnsi="Arial" w:cs="Arial"/>
          <w:color w:val="222222"/>
        </w:rPr>
      </w:pPr>
    </w:p>
    <w:p w14:paraId="673738E1" w14:textId="77777777" w:rsidR="006A261E" w:rsidRDefault="00935D1B">
      <w:pPr>
        <w:pBdr>
          <w:top w:val="nil"/>
          <w:left w:val="nil"/>
          <w:bottom w:val="nil"/>
          <w:right w:val="nil"/>
          <w:between w:val="nil"/>
        </w:pBdr>
        <w:spacing w:after="0"/>
        <w:ind w:hanging="90"/>
        <w:rPr>
          <w:rFonts w:ascii="Arial" w:eastAsia="Arial" w:hAnsi="Arial" w:cs="Arial"/>
          <w:color w:val="222222"/>
        </w:rPr>
      </w:pPr>
      <w:r>
        <w:rPr>
          <w:rFonts w:ascii="Arial" w:eastAsia="Arial" w:hAnsi="Arial" w:cs="Arial"/>
          <w:color w:val="222222"/>
        </w:rPr>
        <w:t xml:space="preserve">  f) </w:t>
      </w:r>
      <w:r>
        <w:rPr>
          <w:rFonts w:ascii="Arial" w:eastAsia="Arial" w:hAnsi="Arial" w:cs="Arial"/>
          <w:color w:val="222222"/>
        </w:rPr>
        <w:t>Check if the occupancy rate may be too low to be plausible. Calculate the occupancy rate and examine whether it is lower than 50%</w:t>
      </w:r>
      <w:r>
        <w:rPr>
          <w:rFonts w:ascii="Arial" w:eastAsia="Arial" w:hAnsi="Arial" w:cs="Arial"/>
          <w:color w:val="222222"/>
        </w:rPr>
        <w:t>.</w:t>
      </w:r>
    </w:p>
    <w:p w14:paraId="4C8DEDEC" w14:textId="77777777" w:rsidR="006A261E" w:rsidRDefault="00935D1B">
      <w:pPr>
        <w:pBdr>
          <w:top w:val="nil"/>
          <w:left w:val="nil"/>
          <w:bottom w:val="nil"/>
          <w:right w:val="nil"/>
          <w:between w:val="nil"/>
        </w:pBdr>
        <w:spacing w:after="0"/>
        <w:ind w:left="720"/>
        <w:rPr>
          <w:rFonts w:ascii="Arial" w:eastAsia="Arial" w:hAnsi="Arial" w:cs="Arial"/>
          <w:color w:val="222222"/>
        </w:rPr>
      </w:pPr>
      <w:r>
        <w:rPr>
          <w:rFonts w:ascii="Arial" w:eastAsia="Arial" w:hAnsi="Arial" w:cs="Arial"/>
          <w:color w:val="222222"/>
        </w:rPr>
        <w:t xml:space="preserve">i) </w:t>
      </w:r>
      <w:r>
        <w:rPr>
          <w:rFonts w:ascii="Arial" w:eastAsia="Arial" w:hAnsi="Arial" w:cs="Arial"/>
          <w:color w:val="222222"/>
        </w:rPr>
        <w:t xml:space="preserve">If the occupancy rate is 50% or lower, </w:t>
      </w:r>
      <w:r>
        <w:rPr>
          <w:rFonts w:ascii="Arial" w:eastAsia="Arial" w:hAnsi="Arial" w:cs="Arial"/>
          <w:color w:val="222222"/>
        </w:rPr>
        <w:t>flag the value to compare to the Vital Research data.</w:t>
      </w:r>
    </w:p>
    <w:p w14:paraId="7BED5CEF" w14:textId="77777777" w:rsidR="006A261E" w:rsidRDefault="00935D1B">
      <w:p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g) The Vital Research measure is a measure of the resident census at only one point in time. Therefore, if the average number of monthly residents reported in the Biennial survey is only slightly lower or slightly higher than the Vital Research data’s reported value, it may still be plausible.</w:t>
      </w:r>
    </w:p>
    <w:p w14:paraId="5C1333BC" w14:textId="77777777" w:rsidR="006A261E" w:rsidRDefault="00935D1B">
      <w:pPr>
        <w:pBdr>
          <w:top w:val="nil"/>
          <w:left w:val="nil"/>
          <w:bottom w:val="nil"/>
          <w:right w:val="nil"/>
          <w:between w:val="nil"/>
        </w:pBdr>
        <w:spacing w:after="0"/>
        <w:ind w:left="720"/>
        <w:rPr>
          <w:rFonts w:ascii="Arial" w:eastAsia="Arial" w:hAnsi="Arial" w:cs="Arial"/>
          <w:color w:val="222222"/>
        </w:rPr>
      </w:pPr>
      <w:r>
        <w:rPr>
          <w:rFonts w:ascii="Arial" w:eastAsia="Arial" w:hAnsi="Arial" w:cs="Arial"/>
          <w:color w:val="222222"/>
        </w:rPr>
        <w:t xml:space="preserve">i) Check to see if the Vital Research resident census measure falls within </w:t>
      </w:r>
      <w:proofErr w:type="gramStart"/>
      <w:r>
        <w:rPr>
          <w:rFonts w:ascii="Arial" w:eastAsia="Arial" w:hAnsi="Arial" w:cs="Arial"/>
          <w:color w:val="222222"/>
        </w:rPr>
        <w:t>the  range</w:t>
      </w:r>
      <w:proofErr w:type="gramEnd"/>
      <w:r>
        <w:rPr>
          <w:rFonts w:ascii="Arial" w:eastAsia="Arial" w:hAnsi="Arial" w:cs="Arial"/>
          <w:color w:val="222222"/>
        </w:rPr>
        <w:t xml:space="preserve"> of values the administrator reported for each month in the Biennial Survey of Long-Term Care Facilities.</w:t>
      </w:r>
    </w:p>
    <w:p w14:paraId="67B49753" w14:textId="77777777" w:rsidR="006A261E" w:rsidRDefault="00935D1B">
      <w:pPr>
        <w:pBdr>
          <w:top w:val="nil"/>
          <w:left w:val="nil"/>
          <w:bottom w:val="nil"/>
          <w:right w:val="nil"/>
          <w:between w:val="nil"/>
        </w:pBdr>
        <w:spacing w:after="0"/>
        <w:ind w:left="720"/>
        <w:rPr>
          <w:rFonts w:ascii="Arial" w:eastAsia="Arial" w:hAnsi="Arial" w:cs="Arial"/>
          <w:color w:val="222222"/>
        </w:rPr>
      </w:pPr>
      <w:r>
        <w:rPr>
          <w:rFonts w:ascii="Arial" w:eastAsia="Arial" w:hAnsi="Arial" w:cs="Arial"/>
          <w:color w:val="222222"/>
        </w:rPr>
        <w:t>ii) If the Vital Research census measure falls within the range of the administrator reported census, keep the measure.</w:t>
      </w:r>
    </w:p>
    <w:p w14:paraId="161E37CD" w14:textId="77777777" w:rsidR="006A261E" w:rsidRDefault="00935D1B">
      <w:pPr>
        <w:pBdr>
          <w:top w:val="nil"/>
          <w:left w:val="nil"/>
          <w:bottom w:val="nil"/>
          <w:right w:val="nil"/>
          <w:between w:val="nil"/>
        </w:pBdr>
        <w:spacing w:after="0"/>
        <w:ind w:left="720"/>
        <w:rPr>
          <w:rFonts w:ascii="Arial" w:eastAsia="Arial" w:hAnsi="Arial" w:cs="Arial"/>
          <w:color w:val="222222"/>
        </w:rPr>
      </w:pPr>
      <w:r>
        <w:rPr>
          <w:rFonts w:ascii="Arial" w:eastAsia="Arial" w:hAnsi="Arial" w:cs="Arial"/>
          <w:color w:val="222222"/>
        </w:rPr>
        <w:t>iii) If the Vital Research measure is greater than the maximum number of residents in each month reported by the administrator or lower than the minimum number, change the resident census measure to what is reported from Vital Research. Examples are below.</w:t>
      </w:r>
    </w:p>
    <w:p w14:paraId="204F757D" w14:textId="77777777" w:rsidR="006A261E" w:rsidRDefault="006A261E">
      <w:pPr>
        <w:pBdr>
          <w:top w:val="nil"/>
          <w:left w:val="nil"/>
          <w:bottom w:val="nil"/>
          <w:right w:val="nil"/>
          <w:between w:val="nil"/>
        </w:pBdr>
        <w:spacing w:after="0"/>
        <w:ind w:left="1080"/>
        <w:rPr>
          <w:rFonts w:ascii="Arial" w:eastAsia="Arial" w:hAnsi="Arial" w:cs="Arial"/>
          <w:color w:val="222222"/>
        </w:rPr>
      </w:pPr>
    </w:p>
    <w:tbl>
      <w:tblPr>
        <w:tblStyle w:val="a1"/>
        <w:tblW w:w="8280"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6"/>
        <w:gridCol w:w="1656"/>
        <w:gridCol w:w="1656"/>
        <w:gridCol w:w="1656"/>
        <w:gridCol w:w="1656"/>
      </w:tblGrid>
      <w:tr w:rsidR="006A261E" w14:paraId="19BEF7BA" w14:textId="77777777">
        <w:trPr>
          <w:trHeight w:val="387"/>
          <w:tblHeader/>
        </w:trPr>
        <w:tc>
          <w:tcPr>
            <w:tcW w:w="1656" w:type="dxa"/>
            <w:tcMar>
              <w:top w:w="100" w:type="dxa"/>
              <w:left w:w="100" w:type="dxa"/>
              <w:bottom w:w="100" w:type="dxa"/>
              <w:right w:w="100" w:type="dxa"/>
            </w:tcMar>
          </w:tcPr>
          <w:p w14:paraId="235AF0DD"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Administrator reported minimum census</w:t>
            </w:r>
          </w:p>
        </w:tc>
        <w:tc>
          <w:tcPr>
            <w:tcW w:w="1656" w:type="dxa"/>
            <w:tcMar>
              <w:top w:w="100" w:type="dxa"/>
              <w:left w:w="100" w:type="dxa"/>
              <w:bottom w:w="100" w:type="dxa"/>
              <w:right w:w="100" w:type="dxa"/>
            </w:tcMar>
          </w:tcPr>
          <w:p w14:paraId="72D7077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Administrator reported </w:t>
            </w:r>
            <w:proofErr w:type="gramStart"/>
            <w:r>
              <w:rPr>
                <w:rFonts w:ascii="Arial" w:eastAsia="Arial" w:hAnsi="Arial" w:cs="Arial"/>
                <w:color w:val="222222"/>
              </w:rPr>
              <w:t>maximum  census</w:t>
            </w:r>
            <w:proofErr w:type="gramEnd"/>
          </w:p>
        </w:tc>
        <w:tc>
          <w:tcPr>
            <w:tcW w:w="1656" w:type="dxa"/>
            <w:tcMar>
              <w:top w:w="100" w:type="dxa"/>
              <w:left w:w="100" w:type="dxa"/>
              <w:bottom w:w="100" w:type="dxa"/>
              <w:right w:w="100" w:type="dxa"/>
            </w:tcMar>
          </w:tcPr>
          <w:p w14:paraId="3E45DDAF"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Administrator reported census averaged over 12 months</w:t>
            </w:r>
          </w:p>
        </w:tc>
        <w:tc>
          <w:tcPr>
            <w:tcW w:w="1656" w:type="dxa"/>
            <w:tcMar>
              <w:top w:w="100" w:type="dxa"/>
              <w:left w:w="100" w:type="dxa"/>
              <w:bottom w:w="100" w:type="dxa"/>
              <w:right w:w="100" w:type="dxa"/>
            </w:tcMar>
          </w:tcPr>
          <w:p w14:paraId="195655D2"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Vital Research census</w:t>
            </w:r>
          </w:p>
        </w:tc>
        <w:tc>
          <w:tcPr>
            <w:tcW w:w="1656" w:type="dxa"/>
            <w:tcMar>
              <w:top w:w="100" w:type="dxa"/>
              <w:left w:w="100" w:type="dxa"/>
              <w:bottom w:w="100" w:type="dxa"/>
              <w:right w:w="100" w:type="dxa"/>
            </w:tcMar>
          </w:tcPr>
          <w:p w14:paraId="20272B90"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Corrected value</w:t>
            </w:r>
          </w:p>
        </w:tc>
      </w:tr>
      <w:tr w:rsidR="006A261E" w14:paraId="2ECC28D0" w14:textId="77777777">
        <w:trPr>
          <w:tblHeader/>
        </w:trPr>
        <w:tc>
          <w:tcPr>
            <w:tcW w:w="1656" w:type="dxa"/>
            <w:tcMar>
              <w:top w:w="100" w:type="dxa"/>
              <w:left w:w="100" w:type="dxa"/>
              <w:bottom w:w="100" w:type="dxa"/>
              <w:right w:w="100" w:type="dxa"/>
            </w:tcMar>
          </w:tcPr>
          <w:p w14:paraId="4E3247D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29</w:t>
            </w:r>
          </w:p>
        </w:tc>
        <w:tc>
          <w:tcPr>
            <w:tcW w:w="1656" w:type="dxa"/>
            <w:tcMar>
              <w:top w:w="100" w:type="dxa"/>
              <w:left w:w="100" w:type="dxa"/>
              <w:bottom w:w="100" w:type="dxa"/>
              <w:right w:w="100" w:type="dxa"/>
            </w:tcMar>
          </w:tcPr>
          <w:p w14:paraId="79FA5EC3"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37</w:t>
            </w:r>
          </w:p>
        </w:tc>
        <w:tc>
          <w:tcPr>
            <w:tcW w:w="1656" w:type="dxa"/>
            <w:tcMar>
              <w:top w:w="100" w:type="dxa"/>
              <w:left w:w="100" w:type="dxa"/>
              <w:bottom w:w="100" w:type="dxa"/>
              <w:right w:w="100" w:type="dxa"/>
            </w:tcMar>
          </w:tcPr>
          <w:p w14:paraId="15125B60"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33.9</w:t>
            </w:r>
          </w:p>
        </w:tc>
        <w:tc>
          <w:tcPr>
            <w:tcW w:w="1656" w:type="dxa"/>
            <w:tcMar>
              <w:top w:w="100" w:type="dxa"/>
              <w:left w:w="100" w:type="dxa"/>
              <w:bottom w:w="100" w:type="dxa"/>
              <w:right w:w="100" w:type="dxa"/>
            </w:tcMar>
          </w:tcPr>
          <w:p w14:paraId="7C482127"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24</w:t>
            </w:r>
          </w:p>
        </w:tc>
        <w:tc>
          <w:tcPr>
            <w:tcW w:w="1656" w:type="dxa"/>
            <w:tcMar>
              <w:top w:w="100" w:type="dxa"/>
              <w:left w:w="100" w:type="dxa"/>
              <w:bottom w:w="100" w:type="dxa"/>
              <w:right w:w="100" w:type="dxa"/>
            </w:tcMar>
          </w:tcPr>
          <w:p w14:paraId="762CC69B"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24</w:t>
            </w:r>
          </w:p>
        </w:tc>
      </w:tr>
      <w:tr w:rsidR="006A261E" w14:paraId="4375B090" w14:textId="77777777">
        <w:trPr>
          <w:tblHeader/>
        </w:trPr>
        <w:tc>
          <w:tcPr>
            <w:tcW w:w="1656" w:type="dxa"/>
            <w:tcMar>
              <w:top w:w="100" w:type="dxa"/>
              <w:left w:w="100" w:type="dxa"/>
              <w:bottom w:w="100" w:type="dxa"/>
              <w:right w:w="100" w:type="dxa"/>
            </w:tcMar>
          </w:tcPr>
          <w:p w14:paraId="69467AD1"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95</w:t>
            </w:r>
          </w:p>
        </w:tc>
        <w:tc>
          <w:tcPr>
            <w:tcW w:w="1656" w:type="dxa"/>
            <w:tcMar>
              <w:top w:w="100" w:type="dxa"/>
              <w:left w:w="100" w:type="dxa"/>
              <w:bottom w:w="100" w:type="dxa"/>
              <w:right w:w="100" w:type="dxa"/>
            </w:tcMar>
          </w:tcPr>
          <w:p w14:paraId="4FE29A29"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103</w:t>
            </w:r>
          </w:p>
        </w:tc>
        <w:tc>
          <w:tcPr>
            <w:tcW w:w="1656" w:type="dxa"/>
            <w:tcMar>
              <w:top w:w="100" w:type="dxa"/>
              <w:left w:w="100" w:type="dxa"/>
              <w:bottom w:w="100" w:type="dxa"/>
              <w:right w:w="100" w:type="dxa"/>
            </w:tcMar>
          </w:tcPr>
          <w:p w14:paraId="434108DC"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98.4</w:t>
            </w:r>
          </w:p>
        </w:tc>
        <w:tc>
          <w:tcPr>
            <w:tcW w:w="1656" w:type="dxa"/>
            <w:tcMar>
              <w:top w:w="100" w:type="dxa"/>
              <w:left w:w="100" w:type="dxa"/>
              <w:bottom w:w="100" w:type="dxa"/>
              <w:right w:w="100" w:type="dxa"/>
            </w:tcMar>
          </w:tcPr>
          <w:p w14:paraId="30FDC45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68</w:t>
            </w:r>
          </w:p>
        </w:tc>
        <w:tc>
          <w:tcPr>
            <w:tcW w:w="1656" w:type="dxa"/>
            <w:tcMar>
              <w:top w:w="100" w:type="dxa"/>
              <w:left w:w="100" w:type="dxa"/>
              <w:bottom w:w="100" w:type="dxa"/>
              <w:right w:w="100" w:type="dxa"/>
            </w:tcMar>
          </w:tcPr>
          <w:p w14:paraId="12618D48"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68</w:t>
            </w:r>
          </w:p>
        </w:tc>
      </w:tr>
      <w:tr w:rsidR="006A261E" w14:paraId="6F4EB18D" w14:textId="77777777">
        <w:trPr>
          <w:tblHeader/>
        </w:trPr>
        <w:tc>
          <w:tcPr>
            <w:tcW w:w="1656" w:type="dxa"/>
            <w:tcMar>
              <w:top w:w="100" w:type="dxa"/>
              <w:left w:w="100" w:type="dxa"/>
              <w:bottom w:w="100" w:type="dxa"/>
              <w:right w:w="100" w:type="dxa"/>
            </w:tcMar>
          </w:tcPr>
          <w:p w14:paraId="15036100"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69</w:t>
            </w:r>
          </w:p>
        </w:tc>
        <w:tc>
          <w:tcPr>
            <w:tcW w:w="1656" w:type="dxa"/>
            <w:tcMar>
              <w:top w:w="100" w:type="dxa"/>
              <w:left w:w="100" w:type="dxa"/>
              <w:bottom w:w="100" w:type="dxa"/>
              <w:right w:w="100" w:type="dxa"/>
            </w:tcMar>
          </w:tcPr>
          <w:p w14:paraId="3DAD0AED"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74</w:t>
            </w:r>
          </w:p>
        </w:tc>
        <w:tc>
          <w:tcPr>
            <w:tcW w:w="1656" w:type="dxa"/>
            <w:tcMar>
              <w:top w:w="100" w:type="dxa"/>
              <w:left w:w="100" w:type="dxa"/>
              <w:bottom w:w="100" w:type="dxa"/>
              <w:right w:w="100" w:type="dxa"/>
            </w:tcMar>
          </w:tcPr>
          <w:p w14:paraId="3288FC57"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71</w:t>
            </w:r>
          </w:p>
        </w:tc>
        <w:tc>
          <w:tcPr>
            <w:tcW w:w="1656" w:type="dxa"/>
            <w:tcMar>
              <w:top w:w="100" w:type="dxa"/>
              <w:left w:w="100" w:type="dxa"/>
              <w:bottom w:w="100" w:type="dxa"/>
              <w:right w:w="100" w:type="dxa"/>
            </w:tcMar>
          </w:tcPr>
          <w:p w14:paraId="4C457211"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78</w:t>
            </w:r>
          </w:p>
        </w:tc>
        <w:tc>
          <w:tcPr>
            <w:tcW w:w="1656" w:type="dxa"/>
            <w:tcMar>
              <w:top w:w="100" w:type="dxa"/>
              <w:left w:w="100" w:type="dxa"/>
              <w:bottom w:w="100" w:type="dxa"/>
              <w:right w:w="100" w:type="dxa"/>
            </w:tcMar>
          </w:tcPr>
          <w:p w14:paraId="1F35D590"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78</w:t>
            </w:r>
          </w:p>
        </w:tc>
      </w:tr>
      <w:tr w:rsidR="006A261E" w14:paraId="63B44D69" w14:textId="77777777">
        <w:trPr>
          <w:tblHeader/>
        </w:trPr>
        <w:tc>
          <w:tcPr>
            <w:tcW w:w="1656" w:type="dxa"/>
            <w:tcMar>
              <w:top w:w="100" w:type="dxa"/>
              <w:left w:w="100" w:type="dxa"/>
              <w:bottom w:w="100" w:type="dxa"/>
              <w:right w:w="100" w:type="dxa"/>
            </w:tcMar>
          </w:tcPr>
          <w:p w14:paraId="38FE6FED"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53</w:t>
            </w:r>
          </w:p>
        </w:tc>
        <w:tc>
          <w:tcPr>
            <w:tcW w:w="1656" w:type="dxa"/>
            <w:tcMar>
              <w:top w:w="100" w:type="dxa"/>
              <w:left w:w="100" w:type="dxa"/>
              <w:bottom w:w="100" w:type="dxa"/>
              <w:right w:w="100" w:type="dxa"/>
            </w:tcMar>
          </w:tcPr>
          <w:p w14:paraId="14189AC3"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66</w:t>
            </w:r>
          </w:p>
        </w:tc>
        <w:tc>
          <w:tcPr>
            <w:tcW w:w="1656" w:type="dxa"/>
            <w:tcMar>
              <w:top w:w="100" w:type="dxa"/>
              <w:left w:w="100" w:type="dxa"/>
              <w:bottom w:w="100" w:type="dxa"/>
              <w:right w:w="100" w:type="dxa"/>
            </w:tcMar>
          </w:tcPr>
          <w:p w14:paraId="0EF5DF25"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60.5</w:t>
            </w:r>
          </w:p>
        </w:tc>
        <w:tc>
          <w:tcPr>
            <w:tcW w:w="1656" w:type="dxa"/>
            <w:tcMar>
              <w:top w:w="100" w:type="dxa"/>
              <w:left w:w="100" w:type="dxa"/>
              <w:bottom w:w="100" w:type="dxa"/>
              <w:right w:w="100" w:type="dxa"/>
            </w:tcMar>
          </w:tcPr>
          <w:p w14:paraId="097E39AE"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119</w:t>
            </w:r>
          </w:p>
        </w:tc>
        <w:tc>
          <w:tcPr>
            <w:tcW w:w="1656" w:type="dxa"/>
            <w:tcMar>
              <w:top w:w="100" w:type="dxa"/>
              <w:left w:w="100" w:type="dxa"/>
              <w:bottom w:w="100" w:type="dxa"/>
              <w:right w:w="100" w:type="dxa"/>
            </w:tcMar>
          </w:tcPr>
          <w:p w14:paraId="4A777445"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119</w:t>
            </w:r>
          </w:p>
        </w:tc>
      </w:tr>
      <w:tr w:rsidR="006A261E" w14:paraId="55D8C375" w14:textId="77777777">
        <w:trPr>
          <w:trHeight w:val="435"/>
        </w:trPr>
        <w:tc>
          <w:tcPr>
            <w:tcW w:w="1656" w:type="dxa"/>
            <w:tcMar>
              <w:top w:w="100" w:type="dxa"/>
              <w:left w:w="100" w:type="dxa"/>
              <w:bottom w:w="100" w:type="dxa"/>
              <w:right w:w="100" w:type="dxa"/>
            </w:tcMar>
          </w:tcPr>
          <w:p w14:paraId="170AA6E3"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46</w:t>
            </w:r>
          </w:p>
        </w:tc>
        <w:tc>
          <w:tcPr>
            <w:tcW w:w="1656" w:type="dxa"/>
            <w:tcMar>
              <w:top w:w="100" w:type="dxa"/>
              <w:left w:w="100" w:type="dxa"/>
              <w:bottom w:w="100" w:type="dxa"/>
              <w:right w:w="100" w:type="dxa"/>
            </w:tcMar>
          </w:tcPr>
          <w:p w14:paraId="0EB121F8"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52</w:t>
            </w:r>
          </w:p>
        </w:tc>
        <w:tc>
          <w:tcPr>
            <w:tcW w:w="1656" w:type="dxa"/>
            <w:tcMar>
              <w:top w:w="100" w:type="dxa"/>
              <w:left w:w="100" w:type="dxa"/>
              <w:bottom w:w="100" w:type="dxa"/>
              <w:right w:w="100" w:type="dxa"/>
            </w:tcMar>
          </w:tcPr>
          <w:p w14:paraId="3C70CFDB"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49.6</w:t>
            </w:r>
          </w:p>
        </w:tc>
        <w:tc>
          <w:tcPr>
            <w:tcW w:w="1656" w:type="dxa"/>
            <w:tcMar>
              <w:top w:w="100" w:type="dxa"/>
              <w:left w:w="100" w:type="dxa"/>
              <w:bottom w:w="100" w:type="dxa"/>
              <w:right w:w="100" w:type="dxa"/>
            </w:tcMar>
          </w:tcPr>
          <w:p w14:paraId="4EE2D73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58</w:t>
            </w:r>
          </w:p>
        </w:tc>
        <w:tc>
          <w:tcPr>
            <w:tcW w:w="1656" w:type="dxa"/>
            <w:tcMar>
              <w:top w:w="100" w:type="dxa"/>
              <w:left w:w="100" w:type="dxa"/>
              <w:bottom w:w="100" w:type="dxa"/>
              <w:right w:w="100" w:type="dxa"/>
            </w:tcMar>
          </w:tcPr>
          <w:p w14:paraId="6F66CD2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58</w:t>
            </w:r>
          </w:p>
        </w:tc>
      </w:tr>
      <w:tr w:rsidR="006A261E" w14:paraId="4764C8E3" w14:textId="77777777">
        <w:tc>
          <w:tcPr>
            <w:tcW w:w="1656" w:type="dxa"/>
            <w:tcMar>
              <w:top w:w="100" w:type="dxa"/>
              <w:left w:w="100" w:type="dxa"/>
              <w:bottom w:w="100" w:type="dxa"/>
              <w:right w:w="100" w:type="dxa"/>
            </w:tcMar>
          </w:tcPr>
          <w:p w14:paraId="77CF3033"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0</w:t>
            </w:r>
          </w:p>
        </w:tc>
        <w:tc>
          <w:tcPr>
            <w:tcW w:w="1656" w:type="dxa"/>
            <w:tcMar>
              <w:top w:w="100" w:type="dxa"/>
              <w:left w:w="100" w:type="dxa"/>
              <w:bottom w:w="100" w:type="dxa"/>
              <w:right w:w="100" w:type="dxa"/>
            </w:tcMar>
          </w:tcPr>
          <w:p w14:paraId="6279066B"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21</w:t>
            </w:r>
          </w:p>
        </w:tc>
        <w:tc>
          <w:tcPr>
            <w:tcW w:w="1656" w:type="dxa"/>
            <w:tcMar>
              <w:top w:w="100" w:type="dxa"/>
              <w:left w:w="100" w:type="dxa"/>
              <w:bottom w:w="100" w:type="dxa"/>
              <w:right w:w="100" w:type="dxa"/>
            </w:tcMar>
          </w:tcPr>
          <w:p w14:paraId="57F8144E"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7.0</w:t>
            </w:r>
          </w:p>
        </w:tc>
        <w:tc>
          <w:tcPr>
            <w:tcW w:w="1656" w:type="dxa"/>
            <w:tcMar>
              <w:top w:w="100" w:type="dxa"/>
              <w:left w:w="100" w:type="dxa"/>
              <w:bottom w:w="100" w:type="dxa"/>
              <w:right w:w="100" w:type="dxa"/>
            </w:tcMar>
          </w:tcPr>
          <w:p w14:paraId="632FE194"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49</w:t>
            </w:r>
          </w:p>
        </w:tc>
        <w:tc>
          <w:tcPr>
            <w:tcW w:w="1656" w:type="dxa"/>
            <w:tcMar>
              <w:top w:w="100" w:type="dxa"/>
              <w:left w:w="100" w:type="dxa"/>
              <w:bottom w:w="100" w:type="dxa"/>
              <w:right w:w="100" w:type="dxa"/>
            </w:tcMar>
          </w:tcPr>
          <w:p w14:paraId="3EEDE486" w14:textId="77777777" w:rsidR="006A261E" w:rsidRDefault="00935D1B">
            <w:pPr>
              <w:widowControl w:val="0"/>
              <w:spacing w:after="0" w:line="240" w:lineRule="auto"/>
              <w:jc w:val="center"/>
              <w:rPr>
                <w:rFonts w:ascii="Arial" w:eastAsia="Arial" w:hAnsi="Arial" w:cs="Arial"/>
                <w:color w:val="222222"/>
              </w:rPr>
            </w:pPr>
            <w:r>
              <w:rPr>
                <w:rFonts w:ascii="Arial" w:eastAsia="Arial" w:hAnsi="Arial" w:cs="Arial"/>
                <w:color w:val="222222"/>
              </w:rPr>
              <w:t xml:space="preserve"> 49</w:t>
            </w:r>
          </w:p>
        </w:tc>
      </w:tr>
    </w:tbl>
    <w:p w14:paraId="007B8F00" w14:textId="77777777" w:rsidR="006A261E" w:rsidRDefault="006A261E">
      <w:pPr>
        <w:numPr>
          <w:ilvl w:val="2"/>
          <w:numId w:val="1"/>
        </w:numPr>
        <w:pBdr>
          <w:top w:val="nil"/>
          <w:left w:val="nil"/>
          <w:bottom w:val="nil"/>
          <w:right w:val="nil"/>
          <w:between w:val="nil"/>
        </w:pBdr>
        <w:spacing w:after="0"/>
        <w:rPr>
          <w:rFonts w:ascii="Arial" w:eastAsia="Arial" w:hAnsi="Arial" w:cs="Arial"/>
          <w:color w:val="222222"/>
        </w:rPr>
      </w:pPr>
    </w:p>
    <w:p w14:paraId="1F29A102" w14:textId="77777777" w:rsidR="006A261E" w:rsidRDefault="00935D1B">
      <w:pPr>
        <w:numPr>
          <w:ilvl w:val="0"/>
          <w:numId w:val="1"/>
        </w:numPr>
        <w:pBdr>
          <w:top w:val="nil"/>
          <w:left w:val="nil"/>
          <w:bottom w:val="nil"/>
          <w:right w:val="nil"/>
          <w:between w:val="nil"/>
        </w:pBdr>
        <w:spacing w:after="0"/>
        <w:rPr>
          <w:rFonts w:ascii="Arial" w:eastAsia="Arial" w:hAnsi="Arial" w:cs="Arial"/>
          <w:b/>
          <w:color w:val="222222"/>
        </w:rPr>
      </w:pPr>
      <w:r>
        <w:rPr>
          <w:rFonts w:ascii="Arial" w:eastAsia="Arial" w:hAnsi="Arial" w:cs="Arial"/>
          <w:b/>
          <w:color w:val="222222"/>
        </w:rPr>
        <w:t>Clean direct care staff (Aide, LPN, and RN) worker data.</w:t>
      </w:r>
      <w:r>
        <w:rPr>
          <w:rFonts w:ascii="Arial" w:eastAsia="Arial" w:hAnsi="Arial" w:cs="Arial"/>
          <w:color w:val="222222"/>
        </w:rPr>
        <w:t xml:space="preserve"> Direct care staffing values are taken from the staffing module portion of the survey </w:t>
      </w:r>
      <w:r>
        <w:rPr>
          <w:rFonts w:ascii="Arial" w:eastAsia="Arial" w:hAnsi="Arial" w:cs="Arial"/>
          <w:color w:val="222222"/>
        </w:rPr>
        <w:t xml:space="preserve">in 2015. First, administrators are asked </w:t>
      </w:r>
      <w:r>
        <w:rPr>
          <w:rFonts w:ascii="Arial" w:eastAsia="Arial" w:hAnsi="Arial" w:cs="Arial"/>
          <w:color w:val="222222"/>
        </w:rPr>
        <w:lastRenderedPageBreak/>
        <w:t xml:space="preserve">what payroll period is used for </w:t>
      </w:r>
      <w:proofErr w:type="gramStart"/>
      <w:r>
        <w:rPr>
          <w:rFonts w:ascii="Arial" w:eastAsia="Arial" w:hAnsi="Arial" w:cs="Arial"/>
          <w:color w:val="222222"/>
        </w:rPr>
        <w:t>the majority of</w:t>
      </w:r>
      <w:proofErr w:type="gramEnd"/>
      <w:r>
        <w:rPr>
          <w:rFonts w:ascii="Arial" w:eastAsia="Arial" w:hAnsi="Arial" w:cs="Arial"/>
          <w:color w:val="222222"/>
        </w:rPr>
        <w:t xml:space="preserve"> their employees.</w:t>
      </w:r>
      <w:r>
        <w:rPr>
          <w:rFonts w:ascii="Arial" w:eastAsia="Arial" w:hAnsi="Arial" w:cs="Arial"/>
          <w:noProof/>
          <w:color w:val="222222"/>
        </w:rPr>
        <w:drawing>
          <wp:inline distT="114300" distB="114300" distL="114300" distR="114300" wp14:anchorId="6A11E032" wp14:editId="4AD2BEE5">
            <wp:extent cx="5943600" cy="12573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43600" cy="1257300"/>
                    </a:xfrm>
                    <a:prstGeom prst="rect">
                      <a:avLst/>
                    </a:prstGeom>
                    <a:ln/>
                  </pic:spPr>
                </pic:pic>
              </a:graphicData>
            </a:graphic>
          </wp:inline>
        </w:drawing>
      </w:r>
    </w:p>
    <w:p w14:paraId="1B129170" w14:textId="77777777" w:rsidR="006A261E" w:rsidRDefault="00935D1B">
      <w:pPr>
        <w:pBdr>
          <w:top w:val="nil"/>
          <w:left w:val="nil"/>
          <w:bottom w:val="nil"/>
          <w:right w:val="nil"/>
          <w:between w:val="nil"/>
        </w:pBdr>
        <w:spacing w:after="0"/>
        <w:ind w:left="360"/>
        <w:rPr>
          <w:rFonts w:ascii="Arial" w:eastAsia="Arial" w:hAnsi="Arial" w:cs="Arial"/>
          <w:color w:val="222222"/>
        </w:rPr>
      </w:pPr>
      <w:r>
        <w:rPr>
          <w:rFonts w:ascii="Arial" w:eastAsia="Arial" w:hAnsi="Arial" w:cs="Arial"/>
          <w:color w:val="222222"/>
        </w:rPr>
        <w:t>Then, administrators are asked about the number of hours the staff work in the first payroll period in 2015. These questions are asked regarding RNs, LPNs, and aides. An example from 2015 is shown below.</w:t>
      </w:r>
    </w:p>
    <w:p w14:paraId="32622E26" w14:textId="77777777" w:rsidR="006A261E" w:rsidRDefault="006A261E">
      <w:pPr>
        <w:pBdr>
          <w:top w:val="nil"/>
          <w:left w:val="nil"/>
          <w:bottom w:val="nil"/>
          <w:right w:val="nil"/>
          <w:between w:val="nil"/>
        </w:pBdr>
        <w:spacing w:after="0"/>
        <w:ind w:left="360"/>
        <w:rPr>
          <w:rFonts w:ascii="Arial" w:eastAsia="Arial" w:hAnsi="Arial" w:cs="Arial"/>
          <w:color w:val="222222"/>
        </w:rPr>
      </w:pPr>
    </w:p>
    <w:p w14:paraId="7B912953" w14:textId="77777777" w:rsidR="006A261E" w:rsidRDefault="00935D1B">
      <w:pPr>
        <w:pBdr>
          <w:top w:val="nil"/>
          <w:left w:val="nil"/>
          <w:bottom w:val="nil"/>
          <w:right w:val="nil"/>
          <w:between w:val="nil"/>
        </w:pBdr>
        <w:spacing w:after="0"/>
        <w:ind w:left="360"/>
        <w:rPr>
          <w:rFonts w:ascii="Arial" w:eastAsia="Arial" w:hAnsi="Arial" w:cs="Arial"/>
          <w:color w:val="222222"/>
        </w:rPr>
      </w:pPr>
      <w:r>
        <w:rPr>
          <w:rFonts w:ascii="Arial" w:eastAsia="Arial" w:hAnsi="Arial" w:cs="Arial"/>
          <w:noProof/>
          <w:color w:val="222222"/>
        </w:rPr>
        <w:drawing>
          <wp:inline distT="114300" distB="114300" distL="114300" distR="114300" wp14:anchorId="11F24424" wp14:editId="162CD09A">
            <wp:extent cx="5943600" cy="21209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2120900"/>
                    </a:xfrm>
                    <a:prstGeom prst="rect">
                      <a:avLst/>
                    </a:prstGeom>
                    <a:ln/>
                  </pic:spPr>
                </pic:pic>
              </a:graphicData>
            </a:graphic>
          </wp:inline>
        </w:drawing>
      </w:r>
    </w:p>
    <w:p w14:paraId="0AEB6295" w14:textId="77777777" w:rsidR="006A261E" w:rsidRDefault="00935D1B">
      <w:pPr>
        <w:numPr>
          <w:ilvl w:val="0"/>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Check for implausible values by following the steps below:</w:t>
      </w:r>
    </w:p>
    <w:p w14:paraId="0331AEF2"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Add contract and non-contract hours together for each type of worker. </w:t>
      </w:r>
      <w:r>
        <w:rPr>
          <w:rFonts w:ascii="Arial" w:eastAsia="Arial" w:hAnsi="Arial" w:cs="Arial"/>
          <w:color w:val="222222"/>
        </w:rPr>
        <w:t xml:space="preserve">If the number of aide hours are missing or </w:t>
      </w:r>
      <w:r>
        <w:rPr>
          <w:rFonts w:ascii="Arial" w:eastAsia="Arial" w:hAnsi="Arial" w:cs="Arial"/>
          <w:color w:val="222222"/>
        </w:rPr>
        <w:t xml:space="preserve">0 </w:t>
      </w:r>
      <w:r>
        <w:rPr>
          <w:rFonts w:ascii="Arial" w:eastAsia="Arial" w:hAnsi="Arial" w:cs="Arial"/>
          <w:color w:val="222222"/>
        </w:rPr>
        <w:t xml:space="preserve">exclude the facility. We assume that an assisted living community has </w:t>
      </w:r>
      <w:r>
        <w:rPr>
          <w:rFonts w:ascii="Arial" w:eastAsia="Arial" w:hAnsi="Arial" w:cs="Arial"/>
          <w:color w:val="222222"/>
        </w:rPr>
        <w:t xml:space="preserve">a non-0 number of aides because a definition of assisted living is a one that provides at least 2 meals a day, around-the-clock supervision, and help with personal care. </w:t>
      </w:r>
      <w:r>
        <w:rPr>
          <w:rFonts w:ascii="Arial" w:eastAsia="Arial" w:hAnsi="Arial" w:cs="Arial"/>
          <w:color w:val="222222"/>
        </w:rPr>
        <w:t>If LPN or RN numbers are missing, exclude the facility. Not all assisted living communities have nurses</w:t>
      </w:r>
      <w:r>
        <w:rPr>
          <w:rFonts w:ascii="Arial" w:eastAsia="Arial" w:hAnsi="Arial" w:cs="Arial"/>
          <w:color w:val="222222"/>
        </w:rPr>
        <w:t xml:space="preserve">, so the RN and LPN staffing number can be 0. </w:t>
      </w:r>
      <w:r>
        <w:rPr>
          <w:rFonts w:ascii="Arial" w:eastAsia="Arial" w:hAnsi="Arial" w:cs="Arial"/>
          <w:color w:val="222222"/>
        </w:rPr>
        <w:t>If the payroll information is missing, exclude the facility. Document how many facilities are excluded in th</w:t>
      </w:r>
      <w:r>
        <w:rPr>
          <w:rFonts w:ascii="Arial" w:eastAsia="Arial" w:hAnsi="Arial" w:cs="Arial"/>
          <w:color w:val="222222"/>
        </w:rPr>
        <w:t>is step</w:t>
      </w:r>
      <w:r>
        <w:rPr>
          <w:rFonts w:ascii="Arial" w:eastAsia="Arial" w:hAnsi="Arial" w:cs="Arial"/>
          <w:color w:val="222222"/>
        </w:rPr>
        <w:t>.</w:t>
      </w:r>
    </w:p>
    <w:p w14:paraId="241131F6"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Flag any facility with aide hours per day </w:t>
      </w:r>
      <w:r>
        <w:rPr>
          <w:rFonts w:ascii="Arial" w:eastAsia="Arial" w:hAnsi="Arial" w:cs="Arial"/>
          <w:color w:val="222222"/>
        </w:rPr>
        <w:t>&gt;=</w:t>
      </w:r>
      <w:r>
        <w:rPr>
          <w:rFonts w:ascii="Arial" w:eastAsia="Arial" w:hAnsi="Arial" w:cs="Arial"/>
          <w:color w:val="222222"/>
        </w:rPr>
        <w:t xml:space="preserve"> 5.25 or total staff hours per resident day </w:t>
      </w:r>
      <w:r>
        <w:rPr>
          <w:rFonts w:ascii="Arial" w:eastAsia="Arial" w:hAnsi="Arial" w:cs="Arial"/>
          <w:color w:val="222222"/>
        </w:rPr>
        <w:t>&gt;=</w:t>
      </w:r>
      <w:r>
        <w:rPr>
          <w:rFonts w:ascii="Arial" w:eastAsia="Arial" w:hAnsi="Arial" w:cs="Arial"/>
          <w:color w:val="222222"/>
        </w:rPr>
        <w:t xml:space="preserve"> 12 as implausible, which is based on the rules CMS uses to clean staffing values for its Care Compare data.</w:t>
      </w:r>
    </w:p>
    <w:p w14:paraId="42B67F1D"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If the staff numbers are implausible (&gt;=5.25 </w:t>
      </w:r>
      <w:proofErr w:type="spellStart"/>
      <w:r>
        <w:rPr>
          <w:rFonts w:ascii="Arial" w:eastAsia="Arial" w:hAnsi="Arial" w:cs="Arial"/>
          <w:color w:val="222222"/>
        </w:rPr>
        <w:t>hrs</w:t>
      </w:r>
      <w:proofErr w:type="spellEnd"/>
      <w:r>
        <w:rPr>
          <w:rFonts w:ascii="Arial" w:eastAsia="Arial" w:hAnsi="Arial" w:cs="Arial"/>
          <w:color w:val="222222"/>
        </w:rPr>
        <w:t xml:space="preserve"> per resident day for aides or &gt;=12 </w:t>
      </w:r>
      <w:proofErr w:type="spellStart"/>
      <w:r>
        <w:rPr>
          <w:rFonts w:ascii="Arial" w:eastAsia="Arial" w:hAnsi="Arial" w:cs="Arial"/>
          <w:color w:val="222222"/>
        </w:rPr>
        <w:t>hrs</w:t>
      </w:r>
      <w:proofErr w:type="spellEnd"/>
      <w:r>
        <w:rPr>
          <w:rFonts w:ascii="Arial" w:eastAsia="Arial" w:hAnsi="Arial" w:cs="Arial"/>
          <w:color w:val="222222"/>
        </w:rPr>
        <w:t xml:space="preserve"> per resident day for total direct care staff) check to see if we have </w:t>
      </w:r>
      <w:r>
        <w:rPr>
          <w:rFonts w:ascii="Arial" w:eastAsia="Arial" w:hAnsi="Arial" w:cs="Arial"/>
          <w:color w:val="222222"/>
        </w:rPr>
        <w:t xml:space="preserve">information from the OSHA section of the survey. We can use this information to validate our numbers from the staffing module. </w:t>
      </w:r>
      <w:r>
        <w:rPr>
          <w:rFonts w:ascii="Arial" w:eastAsia="Arial" w:hAnsi="Arial" w:cs="Arial"/>
          <w:color w:val="222222"/>
        </w:rPr>
        <w:t xml:space="preserve">The OSHA section </w:t>
      </w:r>
      <w:r>
        <w:rPr>
          <w:rFonts w:ascii="Arial" w:eastAsia="Arial" w:hAnsi="Arial" w:cs="Arial"/>
          <w:color w:val="222222"/>
        </w:rPr>
        <w:t xml:space="preserve">asks administrators to fill in numbers that they provided on </w:t>
      </w:r>
      <w:r>
        <w:rPr>
          <w:rFonts w:ascii="Arial" w:eastAsia="Arial" w:hAnsi="Arial" w:cs="Arial"/>
          <w:color w:val="222222"/>
        </w:rPr>
        <w:t xml:space="preserve">a state-mandated </w:t>
      </w:r>
      <w:r>
        <w:rPr>
          <w:rFonts w:ascii="Arial" w:eastAsia="Arial" w:hAnsi="Arial" w:cs="Arial"/>
          <w:color w:val="222222"/>
        </w:rPr>
        <w:t xml:space="preserve">form </w:t>
      </w:r>
      <w:r>
        <w:rPr>
          <w:rFonts w:ascii="Arial" w:eastAsia="Arial" w:hAnsi="Arial" w:cs="Arial"/>
          <w:color w:val="222222"/>
        </w:rPr>
        <w:t>of total hours worked by all employees. The question taken from the OSHA section is shown below.</w:t>
      </w:r>
    </w:p>
    <w:p w14:paraId="6E3756B8" w14:textId="77777777" w:rsidR="006A261E" w:rsidRDefault="00935D1B">
      <w:pPr>
        <w:pBdr>
          <w:top w:val="nil"/>
          <w:left w:val="nil"/>
          <w:bottom w:val="nil"/>
          <w:right w:val="nil"/>
          <w:between w:val="nil"/>
        </w:pBdr>
        <w:spacing w:after="0"/>
        <w:ind w:left="720"/>
        <w:rPr>
          <w:rFonts w:ascii="Arial" w:eastAsia="Arial" w:hAnsi="Arial" w:cs="Arial"/>
          <w:color w:val="222222"/>
        </w:rPr>
      </w:pPr>
      <w:r>
        <w:rPr>
          <w:rFonts w:ascii="Arial" w:eastAsia="Arial" w:hAnsi="Arial" w:cs="Arial"/>
          <w:noProof/>
          <w:color w:val="222222"/>
        </w:rPr>
        <w:drawing>
          <wp:inline distT="114300" distB="114300" distL="114300" distR="114300" wp14:anchorId="504B6E46" wp14:editId="78D25475">
            <wp:extent cx="5943600" cy="7239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943600" cy="723900"/>
                    </a:xfrm>
                    <a:prstGeom prst="rect">
                      <a:avLst/>
                    </a:prstGeom>
                    <a:ln/>
                  </pic:spPr>
                </pic:pic>
              </a:graphicData>
            </a:graphic>
          </wp:inline>
        </w:drawing>
      </w:r>
    </w:p>
    <w:p w14:paraId="5C06D338"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lastRenderedPageBreak/>
        <w:t xml:space="preserve">If we have data from the OSHA </w:t>
      </w:r>
      <w:r>
        <w:rPr>
          <w:rFonts w:ascii="Arial" w:eastAsia="Arial" w:hAnsi="Arial" w:cs="Arial"/>
          <w:color w:val="222222"/>
        </w:rPr>
        <w:t xml:space="preserve">section </w:t>
      </w:r>
      <w:r>
        <w:rPr>
          <w:rFonts w:ascii="Arial" w:eastAsia="Arial" w:hAnsi="Arial" w:cs="Arial"/>
          <w:color w:val="222222"/>
        </w:rPr>
        <w:t>for the facility, we can use it to check whether the administrator accidentally reported the</w:t>
      </w:r>
      <w:r>
        <w:rPr>
          <w:rFonts w:ascii="Arial" w:eastAsia="Arial" w:hAnsi="Arial" w:cs="Arial"/>
          <w:color w:val="222222"/>
        </w:rPr>
        <w:t xml:space="preserve"> staff hours per year</w:t>
      </w:r>
      <w:r>
        <w:rPr>
          <w:rFonts w:ascii="Arial" w:eastAsia="Arial" w:hAnsi="Arial" w:cs="Arial"/>
          <w:color w:val="222222"/>
        </w:rPr>
        <w:t xml:space="preserve"> rather than the hours per payroll period.   </w:t>
      </w:r>
    </w:p>
    <w:p w14:paraId="0CE1E749"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First, we need to convert the Biennial Long-Term Care staffing information to a yearly value (rather than a value reported for the payroll period) </w:t>
      </w:r>
      <w:proofErr w:type="gramStart"/>
      <w:r>
        <w:rPr>
          <w:rFonts w:ascii="Arial" w:eastAsia="Arial" w:hAnsi="Arial" w:cs="Arial"/>
          <w:color w:val="222222"/>
        </w:rPr>
        <w:t>in order to</w:t>
      </w:r>
      <w:proofErr w:type="gramEnd"/>
      <w:r>
        <w:rPr>
          <w:rFonts w:ascii="Arial" w:eastAsia="Arial" w:hAnsi="Arial" w:cs="Arial"/>
          <w:color w:val="222222"/>
        </w:rPr>
        <w:t xml:space="preserve"> make it comparable to the OSHA section. </w:t>
      </w:r>
      <w:r>
        <w:rPr>
          <w:rFonts w:ascii="Arial" w:eastAsia="Arial" w:hAnsi="Arial" w:cs="Arial"/>
          <w:color w:val="222222"/>
        </w:rPr>
        <w:t>For all facilities, convert the total hours of staffing reported in the Biennial Survey of Long-Term care for each staff typ</w:t>
      </w:r>
      <w:r>
        <w:rPr>
          <w:rFonts w:ascii="Arial" w:eastAsia="Arial" w:hAnsi="Arial" w:cs="Arial"/>
          <w:color w:val="222222"/>
        </w:rPr>
        <w:t>e (aide, RN, LPN)</w:t>
      </w:r>
      <w:r>
        <w:rPr>
          <w:rFonts w:ascii="Arial" w:eastAsia="Arial" w:hAnsi="Arial" w:cs="Arial"/>
          <w:color w:val="222222"/>
        </w:rPr>
        <w:t xml:space="preserve"> to a yearly value, using the reported payroll period to dictate the multiplier (e.g., if payroll was monthly, multiply the total staffing value by 12).</w:t>
      </w:r>
    </w:p>
    <w:p w14:paraId="51728A20" w14:textId="77777777" w:rsidR="006A261E" w:rsidRDefault="00935D1B">
      <w:pPr>
        <w:numPr>
          <w:ilvl w:val="2"/>
          <w:numId w:val="1"/>
        </w:numPr>
        <w:spacing w:after="0"/>
        <w:rPr>
          <w:rFonts w:ascii="Arial" w:eastAsia="Arial" w:hAnsi="Arial" w:cs="Arial"/>
          <w:color w:val="222222"/>
        </w:rPr>
      </w:pPr>
      <w:r>
        <w:rPr>
          <w:rFonts w:ascii="Arial" w:eastAsia="Arial" w:hAnsi="Arial" w:cs="Arial"/>
          <w:color w:val="222222"/>
        </w:rPr>
        <w:t>Add the total yearly number of Biennial Staff (aides, RNs, and LPNs).</w:t>
      </w:r>
    </w:p>
    <w:p w14:paraId="3229C6B7"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For all facilities, calculate a ratio of the total yearly staffing hours reported in the </w:t>
      </w:r>
      <w:r>
        <w:rPr>
          <w:rFonts w:ascii="Arial" w:eastAsia="Arial" w:hAnsi="Arial" w:cs="Arial"/>
          <w:color w:val="222222"/>
        </w:rPr>
        <w:t xml:space="preserve">staffing module </w:t>
      </w:r>
      <w:r>
        <w:rPr>
          <w:rFonts w:ascii="Arial" w:eastAsia="Arial" w:hAnsi="Arial" w:cs="Arial"/>
          <w:color w:val="222222"/>
        </w:rPr>
        <w:t>to the total yearly staffing values reported in the OSHA section.</w:t>
      </w:r>
    </w:p>
    <w:p w14:paraId="07B93333"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If the ratio of total Biennial staff hours to OSHA hours is </w:t>
      </w:r>
      <w:r>
        <w:rPr>
          <w:rFonts w:ascii="Arial" w:eastAsia="Arial" w:hAnsi="Arial" w:cs="Arial"/>
          <w:color w:val="222222"/>
        </w:rPr>
        <w:t xml:space="preserve">equal to or less than </w:t>
      </w:r>
      <w:r>
        <w:rPr>
          <w:rFonts w:ascii="Arial" w:eastAsia="Arial" w:hAnsi="Arial" w:cs="Arial"/>
          <w:color w:val="222222"/>
        </w:rPr>
        <w:t xml:space="preserve">1, consider that the administrator correctly reported the staffing hours for the payroll period rather than the year. Ratios of Biennial staffing numbers to OSHA numbers </w:t>
      </w:r>
      <w:r>
        <w:rPr>
          <w:rFonts w:ascii="Arial" w:eastAsia="Arial" w:hAnsi="Arial" w:cs="Arial"/>
          <w:color w:val="222222"/>
        </w:rPr>
        <w:t xml:space="preserve">&lt;= </w:t>
      </w:r>
      <w:r>
        <w:rPr>
          <w:rFonts w:ascii="Arial" w:eastAsia="Arial" w:hAnsi="Arial" w:cs="Arial"/>
          <w:color w:val="222222"/>
        </w:rPr>
        <w:t>1 are considered to likely be reported for the payroll period because the direct care hours (aides, RNs, and LPNs) will be some fraction of the total hours reported in OSHA (OSHA includes direct care, but also other staff such as cooking and cleaning).</w:t>
      </w:r>
    </w:p>
    <w:p w14:paraId="66EDE166" w14:textId="77777777" w:rsidR="006A261E" w:rsidRDefault="006A261E">
      <w:pPr>
        <w:pBdr>
          <w:top w:val="nil"/>
          <w:left w:val="nil"/>
          <w:bottom w:val="nil"/>
          <w:right w:val="nil"/>
          <w:between w:val="nil"/>
        </w:pBdr>
        <w:spacing w:after="0"/>
        <w:ind w:left="1080"/>
        <w:rPr>
          <w:rFonts w:ascii="Arial" w:eastAsia="Arial" w:hAnsi="Arial" w:cs="Arial"/>
          <w:color w:val="222222"/>
        </w:rPr>
      </w:pPr>
    </w:p>
    <w:p w14:paraId="4EECF6E5" w14:textId="77777777" w:rsidR="006A261E" w:rsidRDefault="00935D1B">
      <w:pPr>
        <w:spacing w:after="0"/>
        <w:ind w:left="1080"/>
        <w:rPr>
          <w:rFonts w:ascii="Arial" w:eastAsia="Arial" w:hAnsi="Arial" w:cs="Arial"/>
          <w:color w:val="222222"/>
        </w:rPr>
      </w:pPr>
      <w:r>
        <w:rPr>
          <w:rFonts w:ascii="Arial" w:eastAsia="Arial" w:hAnsi="Arial" w:cs="Arial"/>
          <w:color w:val="222222"/>
        </w:rPr>
        <w:t>Table x. Examples of the staffing module to OSHA ratios</w:t>
      </w:r>
    </w:p>
    <w:tbl>
      <w:tblPr>
        <w:tblStyle w:val="a2"/>
        <w:tblW w:w="8280"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2070"/>
        <w:gridCol w:w="2070"/>
        <w:gridCol w:w="2070"/>
      </w:tblGrid>
      <w:tr w:rsidR="006A261E" w14:paraId="2D00CEEB" w14:textId="77777777">
        <w:trPr>
          <w:trHeight w:val="1772"/>
        </w:trPr>
        <w:tc>
          <w:tcPr>
            <w:tcW w:w="2070" w:type="dxa"/>
            <w:shd w:val="clear" w:color="auto" w:fill="auto"/>
            <w:tcMar>
              <w:top w:w="100" w:type="dxa"/>
              <w:left w:w="100" w:type="dxa"/>
              <w:bottom w:w="100" w:type="dxa"/>
              <w:right w:w="100" w:type="dxa"/>
            </w:tcMar>
          </w:tcPr>
          <w:p w14:paraId="73C89E2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Total Biennial staff hours per year (</w:t>
            </w:r>
            <w:proofErr w:type="spellStart"/>
            <w:r>
              <w:rPr>
                <w:rFonts w:ascii="Arial" w:eastAsia="Arial" w:hAnsi="Arial" w:cs="Arial"/>
                <w:color w:val="222222"/>
              </w:rPr>
              <w:t>LPN+RN+Aide</w:t>
            </w:r>
            <w:proofErr w:type="spellEnd"/>
            <w:r>
              <w:rPr>
                <w:rFonts w:ascii="Arial" w:eastAsia="Arial" w:hAnsi="Arial" w:cs="Arial"/>
                <w:color w:val="222222"/>
              </w:rPr>
              <w:t>) from the staffing module</w:t>
            </w:r>
          </w:p>
        </w:tc>
        <w:tc>
          <w:tcPr>
            <w:tcW w:w="2070" w:type="dxa"/>
            <w:shd w:val="clear" w:color="auto" w:fill="auto"/>
            <w:tcMar>
              <w:top w:w="100" w:type="dxa"/>
              <w:left w:w="100" w:type="dxa"/>
              <w:bottom w:w="100" w:type="dxa"/>
              <w:right w:w="100" w:type="dxa"/>
            </w:tcMar>
          </w:tcPr>
          <w:p w14:paraId="7268651B"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Total yearly staffing reported in OSHA section (includes direct care and other staff such as activities)</w:t>
            </w:r>
          </w:p>
        </w:tc>
        <w:tc>
          <w:tcPr>
            <w:tcW w:w="2070" w:type="dxa"/>
            <w:shd w:val="clear" w:color="auto" w:fill="auto"/>
            <w:tcMar>
              <w:top w:w="100" w:type="dxa"/>
              <w:left w:w="100" w:type="dxa"/>
              <w:bottom w:w="100" w:type="dxa"/>
              <w:right w:w="100" w:type="dxa"/>
            </w:tcMar>
          </w:tcPr>
          <w:p w14:paraId="29FBB153"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Ratio of Biennial to OSHA</w:t>
            </w:r>
          </w:p>
          <w:p w14:paraId="37CE8203"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(&lt;=1 plausible, &gt;1 implausible)</w:t>
            </w:r>
          </w:p>
        </w:tc>
        <w:tc>
          <w:tcPr>
            <w:tcW w:w="2070" w:type="dxa"/>
            <w:shd w:val="clear" w:color="auto" w:fill="auto"/>
            <w:tcMar>
              <w:top w:w="100" w:type="dxa"/>
              <w:left w:w="100" w:type="dxa"/>
              <w:bottom w:w="100" w:type="dxa"/>
              <w:right w:w="100" w:type="dxa"/>
            </w:tcMar>
          </w:tcPr>
          <w:p w14:paraId="085E8429"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Plausible or implausible</w:t>
            </w:r>
          </w:p>
        </w:tc>
      </w:tr>
      <w:tr w:rsidR="006A261E" w14:paraId="4255CFC6" w14:textId="77777777">
        <w:tc>
          <w:tcPr>
            <w:tcW w:w="2070" w:type="dxa"/>
            <w:shd w:val="clear" w:color="auto" w:fill="auto"/>
            <w:tcMar>
              <w:top w:w="100" w:type="dxa"/>
              <w:left w:w="100" w:type="dxa"/>
              <w:bottom w:w="100" w:type="dxa"/>
              <w:right w:w="100" w:type="dxa"/>
            </w:tcMar>
          </w:tcPr>
          <w:p w14:paraId="130EE5CA"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352992</w:t>
            </w:r>
          </w:p>
        </w:tc>
        <w:tc>
          <w:tcPr>
            <w:tcW w:w="2070" w:type="dxa"/>
            <w:shd w:val="clear" w:color="auto" w:fill="auto"/>
            <w:tcMar>
              <w:top w:w="100" w:type="dxa"/>
              <w:left w:w="100" w:type="dxa"/>
              <w:bottom w:w="100" w:type="dxa"/>
              <w:right w:w="100" w:type="dxa"/>
            </w:tcMar>
          </w:tcPr>
          <w:p w14:paraId="3D9236BF"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23281</w:t>
            </w:r>
          </w:p>
        </w:tc>
        <w:tc>
          <w:tcPr>
            <w:tcW w:w="2070" w:type="dxa"/>
            <w:shd w:val="clear" w:color="auto" w:fill="auto"/>
            <w:tcMar>
              <w:top w:w="100" w:type="dxa"/>
              <w:left w:w="100" w:type="dxa"/>
              <w:bottom w:w="100" w:type="dxa"/>
              <w:right w:w="100" w:type="dxa"/>
            </w:tcMar>
          </w:tcPr>
          <w:p w14:paraId="2D4B185A"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15.1622</w:t>
            </w:r>
          </w:p>
        </w:tc>
        <w:tc>
          <w:tcPr>
            <w:tcW w:w="2070" w:type="dxa"/>
            <w:shd w:val="clear" w:color="auto" w:fill="auto"/>
            <w:tcMar>
              <w:top w:w="100" w:type="dxa"/>
              <w:left w:w="100" w:type="dxa"/>
              <w:bottom w:w="100" w:type="dxa"/>
              <w:right w:w="100" w:type="dxa"/>
            </w:tcMar>
          </w:tcPr>
          <w:p w14:paraId="34F1FBCE"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Implausible</w:t>
            </w:r>
          </w:p>
        </w:tc>
      </w:tr>
      <w:tr w:rsidR="006A261E" w14:paraId="66BBF0CA" w14:textId="77777777">
        <w:tc>
          <w:tcPr>
            <w:tcW w:w="2070" w:type="dxa"/>
            <w:shd w:val="clear" w:color="auto" w:fill="auto"/>
            <w:tcMar>
              <w:top w:w="100" w:type="dxa"/>
              <w:left w:w="100" w:type="dxa"/>
              <w:bottom w:w="100" w:type="dxa"/>
              <w:right w:w="100" w:type="dxa"/>
            </w:tcMar>
          </w:tcPr>
          <w:p w14:paraId="7110B2C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519818</w:t>
            </w:r>
          </w:p>
        </w:tc>
        <w:tc>
          <w:tcPr>
            <w:tcW w:w="2070" w:type="dxa"/>
            <w:shd w:val="clear" w:color="auto" w:fill="auto"/>
            <w:tcMar>
              <w:top w:w="100" w:type="dxa"/>
              <w:left w:w="100" w:type="dxa"/>
              <w:bottom w:w="100" w:type="dxa"/>
              <w:right w:w="100" w:type="dxa"/>
            </w:tcMar>
          </w:tcPr>
          <w:p w14:paraId="28A7399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32435</w:t>
            </w:r>
          </w:p>
        </w:tc>
        <w:tc>
          <w:tcPr>
            <w:tcW w:w="2070" w:type="dxa"/>
            <w:shd w:val="clear" w:color="auto" w:fill="auto"/>
            <w:tcMar>
              <w:top w:w="100" w:type="dxa"/>
              <w:left w:w="100" w:type="dxa"/>
              <w:bottom w:w="100" w:type="dxa"/>
              <w:right w:w="100" w:type="dxa"/>
            </w:tcMar>
          </w:tcPr>
          <w:p w14:paraId="3258F973"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16.03</w:t>
            </w:r>
          </w:p>
        </w:tc>
        <w:tc>
          <w:tcPr>
            <w:tcW w:w="2070" w:type="dxa"/>
            <w:shd w:val="clear" w:color="auto" w:fill="auto"/>
            <w:tcMar>
              <w:top w:w="100" w:type="dxa"/>
              <w:left w:w="100" w:type="dxa"/>
              <w:bottom w:w="100" w:type="dxa"/>
              <w:right w:w="100" w:type="dxa"/>
            </w:tcMar>
          </w:tcPr>
          <w:p w14:paraId="1A666EF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Implausible</w:t>
            </w:r>
          </w:p>
        </w:tc>
      </w:tr>
      <w:tr w:rsidR="006A261E" w14:paraId="13A3F8AF" w14:textId="77777777">
        <w:tc>
          <w:tcPr>
            <w:tcW w:w="2070" w:type="dxa"/>
            <w:shd w:val="clear" w:color="auto" w:fill="auto"/>
            <w:tcMar>
              <w:top w:w="100" w:type="dxa"/>
              <w:left w:w="100" w:type="dxa"/>
              <w:bottom w:w="100" w:type="dxa"/>
              <w:right w:w="100" w:type="dxa"/>
            </w:tcMar>
          </w:tcPr>
          <w:p w14:paraId="5311674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15340962</w:t>
            </w:r>
          </w:p>
        </w:tc>
        <w:tc>
          <w:tcPr>
            <w:tcW w:w="2070" w:type="dxa"/>
            <w:shd w:val="clear" w:color="auto" w:fill="auto"/>
            <w:tcMar>
              <w:top w:w="100" w:type="dxa"/>
              <w:left w:w="100" w:type="dxa"/>
              <w:bottom w:w="100" w:type="dxa"/>
              <w:right w:w="100" w:type="dxa"/>
            </w:tcMar>
          </w:tcPr>
          <w:p w14:paraId="5DB3C5D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58833</w:t>
            </w:r>
          </w:p>
        </w:tc>
        <w:tc>
          <w:tcPr>
            <w:tcW w:w="2070" w:type="dxa"/>
            <w:shd w:val="clear" w:color="auto" w:fill="auto"/>
            <w:tcMar>
              <w:top w:w="100" w:type="dxa"/>
              <w:left w:w="100" w:type="dxa"/>
              <w:bottom w:w="100" w:type="dxa"/>
              <w:right w:w="100" w:type="dxa"/>
            </w:tcMar>
          </w:tcPr>
          <w:p w14:paraId="54BA9C8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260.75</w:t>
            </w:r>
          </w:p>
        </w:tc>
        <w:tc>
          <w:tcPr>
            <w:tcW w:w="2070" w:type="dxa"/>
            <w:shd w:val="clear" w:color="auto" w:fill="auto"/>
            <w:tcMar>
              <w:top w:w="100" w:type="dxa"/>
              <w:left w:w="100" w:type="dxa"/>
              <w:bottom w:w="100" w:type="dxa"/>
              <w:right w:w="100" w:type="dxa"/>
            </w:tcMar>
          </w:tcPr>
          <w:p w14:paraId="1613E0CE"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Implausible</w:t>
            </w:r>
          </w:p>
        </w:tc>
      </w:tr>
      <w:tr w:rsidR="006A261E" w14:paraId="7E6A401C" w14:textId="77777777">
        <w:tc>
          <w:tcPr>
            <w:tcW w:w="2070" w:type="dxa"/>
            <w:shd w:val="clear" w:color="auto" w:fill="auto"/>
            <w:tcMar>
              <w:top w:w="100" w:type="dxa"/>
              <w:left w:w="100" w:type="dxa"/>
              <w:bottom w:w="100" w:type="dxa"/>
              <w:right w:w="100" w:type="dxa"/>
            </w:tcMar>
          </w:tcPr>
          <w:p w14:paraId="14880DBF"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93808</w:t>
            </w:r>
          </w:p>
        </w:tc>
        <w:tc>
          <w:tcPr>
            <w:tcW w:w="2070" w:type="dxa"/>
            <w:shd w:val="clear" w:color="auto" w:fill="auto"/>
            <w:tcMar>
              <w:top w:w="100" w:type="dxa"/>
              <w:left w:w="100" w:type="dxa"/>
              <w:bottom w:w="100" w:type="dxa"/>
              <w:right w:w="100" w:type="dxa"/>
            </w:tcMar>
          </w:tcPr>
          <w:p w14:paraId="4284066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187549</w:t>
            </w:r>
          </w:p>
        </w:tc>
        <w:tc>
          <w:tcPr>
            <w:tcW w:w="2070" w:type="dxa"/>
            <w:shd w:val="clear" w:color="auto" w:fill="auto"/>
            <w:tcMar>
              <w:top w:w="100" w:type="dxa"/>
              <w:left w:w="100" w:type="dxa"/>
              <w:bottom w:w="100" w:type="dxa"/>
              <w:right w:w="100" w:type="dxa"/>
            </w:tcMar>
          </w:tcPr>
          <w:p w14:paraId="5DF6186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0.5</w:t>
            </w:r>
          </w:p>
        </w:tc>
        <w:tc>
          <w:tcPr>
            <w:tcW w:w="2070" w:type="dxa"/>
            <w:shd w:val="clear" w:color="auto" w:fill="auto"/>
            <w:tcMar>
              <w:top w:w="100" w:type="dxa"/>
              <w:left w:w="100" w:type="dxa"/>
              <w:bottom w:w="100" w:type="dxa"/>
              <w:right w:w="100" w:type="dxa"/>
            </w:tcMar>
          </w:tcPr>
          <w:p w14:paraId="4512D46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Plausible</w:t>
            </w:r>
          </w:p>
        </w:tc>
      </w:tr>
      <w:tr w:rsidR="006A261E" w14:paraId="240E8B52" w14:textId="77777777">
        <w:tc>
          <w:tcPr>
            <w:tcW w:w="2070" w:type="dxa"/>
            <w:shd w:val="clear" w:color="auto" w:fill="auto"/>
            <w:tcMar>
              <w:top w:w="100" w:type="dxa"/>
              <w:left w:w="100" w:type="dxa"/>
              <w:bottom w:w="100" w:type="dxa"/>
              <w:right w:w="100" w:type="dxa"/>
            </w:tcMar>
          </w:tcPr>
          <w:p w14:paraId="4D2A7F3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55848</w:t>
            </w:r>
          </w:p>
        </w:tc>
        <w:tc>
          <w:tcPr>
            <w:tcW w:w="2070" w:type="dxa"/>
            <w:shd w:val="clear" w:color="auto" w:fill="auto"/>
            <w:tcMar>
              <w:top w:w="100" w:type="dxa"/>
              <w:left w:w="100" w:type="dxa"/>
              <w:bottom w:w="100" w:type="dxa"/>
              <w:right w:w="100" w:type="dxa"/>
            </w:tcMar>
          </w:tcPr>
          <w:p w14:paraId="725E2894"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78110</w:t>
            </w:r>
          </w:p>
        </w:tc>
        <w:tc>
          <w:tcPr>
            <w:tcW w:w="2070" w:type="dxa"/>
            <w:shd w:val="clear" w:color="auto" w:fill="auto"/>
            <w:tcMar>
              <w:top w:w="100" w:type="dxa"/>
              <w:left w:w="100" w:type="dxa"/>
              <w:bottom w:w="100" w:type="dxa"/>
              <w:right w:w="100" w:type="dxa"/>
            </w:tcMar>
          </w:tcPr>
          <w:p w14:paraId="2147B54C"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0.71</w:t>
            </w:r>
          </w:p>
        </w:tc>
        <w:tc>
          <w:tcPr>
            <w:tcW w:w="2070" w:type="dxa"/>
            <w:shd w:val="clear" w:color="auto" w:fill="auto"/>
            <w:tcMar>
              <w:top w:w="100" w:type="dxa"/>
              <w:left w:w="100" w:type="dxa"/>
              <w:bottom w:w="100" w:type="dxa"/>
              <w:right w:w="100" w:type="dxa"/>
            </w:tcMar>
          </w:tcPr>
          <w:p w14:paraId="5702DE14"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Plausible</w:t>
            </w:r>
          </w:p>
        </w:tc>
      </w:tr>
    </w:tbl>
    <w:p w14:paraId="5D038B66" w14:textId="77777777" w:rsidR="006A261E" w:rsidRDefault="006A261E">
      <w:pPr>
        <w:spacing w:after="0"/>
        <w:ind w:left="1080"/>
        <w:rPr>
          <w:rFonts w:ascii="Arial" w:eastAsia="Arial" w:hAnsi="Arial" w:cs="Arial"/>
          <w:color w:val="222222"/>
        </w:rPr>
      </w:pPr>
    </w:p>
    <w:p w14:paraId="6C07B440" w14:textId="77777777" w:rsidR="006A261E" w:rsidRDefault="006A261E">
      <w:pPr>
        <w:pBdr>
          <w:top w:val="nil"/>
          <w:left w:val="nil"/>
          <w:bottom w:val="nil"/>
          <w:right w:val="nil"/>
          <w:between w:val="nil"/>
        </w:pBdr>
        <w:spacing w:after="0"/>
        <w:ind w:left="1080"/>
        <w:rPr>
          <w:rFonts w:ascii="Arial" w:eastAsia="Arial" w:hAnsi="Arial" w:cs="Arial"/>
          <w:color w:val="222222"/>
        </w:rPr>
      </w:pPr>
    </w:p>
    <w:p w14:paraId="7E9AE02D"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If the ratio of total Biennial staff hours to OSHA hours is over 1, consider the staffing numbers may represent yearly rates. Multiply the </w:t>
      </w:r>
      <w:proofErr w:type="gramStart"/>
      <w:r>
        <w:rPr>
          <w:rFonts w:ascii="Arial" w:eastAsia="Arial" w:hAnsi="Arial" w:cs="Arial"/>
          <w:color w:val="222222"/>
        </w:rPr>
        <w:t>1th</w:t>
      </w:r>
      <w:proofErr w:type="gramEnd"/>
      <w:r>
        <w:rPr>
          <w:rFonts w:ascii="Arial" w:eastAsia="Arial" w:hAnsi="Arial" w:cs="Arial"/>
          <w:color w:val="222222"/>
        </w:rPr>
        <w:t xml:space="preserve"> and 9</w:t>
      </w:r>
      <w:r>
        <w:rPr>
          <w:rFonts w:ascii="Arial" w:eastAsia="Arial" w:hAnsi="Arial" w:cs="Arial"/>
          <w:color w:val="222222"/>
        </w:rPr>
        <w:t>9</w:t>
      </w:r>
      <w:r>
        <w:rPr>
          <w:rFonts w:ascii="Arial" w:eastAsia="Arial" w:hAnsi="Arial" w:cs="Arial"/>
          <w:color w:val="222222"/>
        </w:rPr>
        <w:t xml:space="preserve">th percentile values of the ratios under 1 by a factor that corresponds to the payroll period reported in Biennial data. Doing so creates a range of ratios for each payroll period representing values that may indicate an administrator reported for the year rather than the payroll period.  </w:t>
      </w:r>
    </w:p>
    <w:p w14:paraId="169711F7" w14:textId="77777777" w:rsidR="006A261E" w:rsidRDefault="006A261E">
      <w:pPr>
        <w:spacing w:after="0"/>
        <w:ind w:left="1080"/>
        <w:rPr>
          <w:rFonts w:ascii="Arial" w:eastAsia="Arial" w:hAnsi="Arial" w:cs="Arial"/>
          <w:color w:val="222222"/>
        </w:rPr>
      </w:pPr>
    </w:p>
    <w:tbl>
      <w:tblPr>
        <w:tblStyle w:val="a3"/>
        <w:tblW w:w="8625"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1755"/>
        <w:gridCol w:w="1725"/>
        <w:gridCol w:w="1740"/>
        <w:gridCol w:w="1665"/>
      </w:tblGrid>
      <w:tr w:rsidR="006A261E" w14:paraId="6770BCF8" w14:textId="77777777">
        <w:tc>
          <w:tcPr>
            <w:tcW w:w="1740" w:type="dxa"/>
            <w:shd w:val="clear" w:color="auto" w:fill="auto"/>
            <w:tcMar>
              <w:top w:w="100" w:type="dxa"/>
              <w:left w:w="100" w:type="dxa"/>
              <w:bottom w:w="100" w:type="dxa"/>
              <w:right w:w="100" w:type="dxa"/>
            </w:tcMar>
          </w:tcPr>
          <w:p w14:paraId="3C98EEB2"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lastRenderedPageBreak/>
              <w:t>Payroll period</w:t>
            </w:r>
          </w:p>
        </w:tc>
        <w:tc>
          <w:tcPr>
            <w:tcW w:w="1755" w:type="dxa"/>
            <w:shd w:val="clear" w:color="auto" w:fill="auto"/>
            <w:tcMar>
              <w:top w:w="100" w:type="dxa"/>
              <w:left w:w="100" w:type="dxa"/>
              <w:bottom w:w="100" w:type="dxa"/>
              <w:right w:w="100" w:type="dxa"/>
            </w:tcMar>
          </w:tcPr>
          <w:p w14:paraId="520A04D2"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Payroll period multiplier</w:t>
            </w:r>
          </w:p>
        </w:tc>
        <w:tc>
          <w:tcPr>
            <w:tcW w:w="1725" w:type="dxa"/>
            <w:shd w:val="clear" w:color="auto" w:fill="auto"/>
            <w:tcMar>
              <w:top w:w="100" w:type="dxa"/>
              <w:left w:w="100" w:type="dxa"/>
              <w:bottom w:w="100" w:type="dxa"/>
              <w:right w:w="100" w:type="dxa"/>
            </w:tcMar>
          </w:tcPr>
          <w:p w14:paraId="6567C42E"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10th percentile of staffing module/OSHA ratios</w:t>
            </w:r>
          </w:p>
        </w:tc>
        <w:tc>
          <w:tcPr>
            <w:tcW w:w="1740" w:type="dxa"/>
            <w:shd w:val="clear" w:color="auto" w:fill="auto"/>
            <w:tcMar>
              <w:top w:w="100" w:type="dxa"/>
              <w:left w:w="100" w:type="dxa"/>
              <w:bottom w:w="100" w:type="dxa"/>
              <w:right w:w="100" w:type="dxa"/>
            </w:tcMar>
          </w:tcPr>
          <w:p w14:paraId="58DDF50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90th percentile of staffing module/OSHA ratios</w:t>
            </w:r>
          </w:p>
        </w:tc>
        <w:tc>
          <w:tcPr>
            <w:tcW w:w="1665" w:type="dxa"/>
            <w:shd w:val="clear" w:color="auto" w:fill="auto"/>
            <w:tcMar>
              <w:top w:w="100" w:type="dxa"/>
              <w:left w:w="100" w:type="dxa"/>
              <w:bottom w:w="100" w:type="dxa"/>
              <w:right w:w="100" w:type="dxa"/>
            </w:tcMar>
          </w:tcPr>
          <w:p w14:paraId="560DB8A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Range of staffing module/OSHA ratios potentially reporting for year</w:t>
            </w:r>
          </w:p>
        </w:tc>
      </w:tr>
      <w:tr w:rsidR="006A261E" w14:paraId="2045E681" w14:textId="77777777">
        <w:tc>
          <w:tcPr>
            <w:tcW w:w="1740" w:type="dxa"/>
            <w:shd w:val="clear" w:color="auto" w:fill="auto"/>
            <w:tcMar>
              <w:top w:w="100" w:type="dxa"/>
              <w:left w:w="100" w:type="dxa"/>
              <w:bottom w:w="100" w:type="dxa"/>
              <w:right w:w="100" w:type="dxa"/>
            </w:tcMar>
          </w:tcPr>
          <w:p w14:paraId="6B0E770B"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Month</w:t>
            </w:r>
          </w:p>
        </w:tc>
        <w:tc>
          <w:tcPr>
            <w:tcW w:w="1755" w:type="dxa"/>
            <w:shd w:val="clear" w:color="auto" w:fill="auto"/>
            <w:tcMar>
              <w:top w:w="100" w:type="dxa"/>
              <w:left w:w="100" w:type="dxa"/>
              <w:bottom w:w="100" w:type="dxa"/>
              <w:right w:w="100" w:type="dxa"/>
            </w:tcMar>
          </w:tcPr>
          <w:p w14:paraId="24F9D1F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12</w:t>
            </w:r>
          </w:p>
        </w:tc>
        <w:tc>
          <w:tcPr>
            <w:tcW w:w="1725" w:type="dxa"/>
            <w:shd w:val="clear" w:color="auto" w:fill="auto"/>
            <w:tcMar>
              <w:top w:w="100" w:type="dxa"/>
              <w:left w:w="100" w:type="dxa"/>
              <w:bottom w:w="100" w:type="dxa"/>
              <w:right w:w="100" w:type="dxa"/>
            </w:tcMar>
          </w:tcPr>
          <w:p w14:paraId="1EF9AD74"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.03</w:t>
            </w:r>
          </w:p>
        </w:tc>
        <w:tc>
          <w:tcPr>
            <w:tcW w:w="1740" w:type="dxa"/>
            <w:shd w:val="clear" w:color="auto" w:fill="auto"/>
            <w:tcMar>
              <w:top w:w="100" w:type="dxa"/>
              <w:left w:w="100" w:type="dxa"/>
              <w:bottom w:w="100" w:type="dxa"/>
              <w:right w:w="100" w:type="dxa"/>
            </w:tcMar>
          </w:tcPr>
          <w:p w14:paraId="6B800D1C"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1.0</w:t>
            </w:r>
          </w:p>
        </w:tc>
        <w:tc>
          <w:tcPr>
            <w:tcW w:w="1665" w:type="dxa"/>
            <w:shd w:val="clear" w:color="auto" w:fill="auto"/>
            <w:tcMar>
              <w:top w:w="100" w:type="dxa"/>
              <w:left w:w="100" w:type="dxa"/>
              <w:bottom w:w="100" w:type="dxa"/>
              <w:right w:w="100" w:type="dxa"/>
            </w:tcMar>
          </w:tcPr>
          <w:p w14:paraId="2A83E07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.36-12</w:t>
            </w:r>
          </w:p>
        </w:tc>
      </w:tr>
      <w:tr w:rsidR="006A261E" w14:paraId="48893DA9" w14:textId="77777777">
        <w:tc>
          <w:tcPr>
            <w:tcW w:w="1740" w:type="dxa"/>
            <w:shd w:val="clear" w:color="auto" w:fill="auto"/>
            <w:tcMar>
              <w:top w:w="100" w:type="dxa"/>
              <w:left w:w="100" w:type="dxa"/>
              <w:bottom w:w="100" w:type="dxa"/>
              <w:right w:w="100" w:type="dxa"/>
            </w:tcMar>
          </w:tcPr>
          <w:p w14:paraId="34A8B71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Semi monthly</w:t>
            </w:r>
          </w:p>
        </w:tc>
        <w:tc>
          <w:tcPr>
            <w:tcW w:w="1755" w:type="dxa"/>
            <w:shd w:val="clear" w:color="auto" w:fill="auto"/>
            <w:tcMar>
              <w:top w:w="100" w:type="dxa"/>
              <w:left w:w="100" w:type="dxa"/>
              <w:bottom w:w="100" w:type="dxa"/>
              <w:right w:w="100" w:type="dxa"/>
            </w:tcMar>
          </w:tcPr>
          <w:p w14:paraId="478480C3"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24</w:t>
            </w:r>
          </w:p>
        </w:tc>
        <w:tc>
          <w:tcPr>
            <w:tcW w:w="1725" w:type="dxa"/>
            <w:shd w:val="clear" w:color="auto" w:fill="auto"/>
            <w:tcMar>
              <w:top w:w="100" w:type="dxa"/>
              <w:left w:w="100" w:type="dxa"/>
              <w:bottom w:w="100" w:type="dxa"/>
              <w:right w:w="100" w:type="dxa"/>
            </w:tcMar>
          </w:tcPr>
          <w:p w14:paraId="414C9467"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.03</w:t>
            </w:r>
          </w:p>
        </w:tc>
        <w:tc>
          <w:tcPr>
            <w:tcW w:w="1740" w:type="dxa"/>
            <w:shd w:val="clear" w:color="auto" w:fill="auto"/>
            <w:tcMar>
              <w:top w:w="100" w:type="dxa"/>
              <w:left w:w="100" w:type="dxa"/>
              <w:bottom w:w="100" w:type="dxa"/>
              <w:right w:w="100" w:type="dxa"/>
            </w:tcMar>
          </w:tcPr>
          <w:p w14:paraId="31E60BE9"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1.0</w:t>
            </w:r>
          </w:p>
        </w:tc>
        <w:tc>
          <w:tcPr>
            <w:tcW w:w="1665" w:type="dxa"/>
            <w:shd w:val="clear" w:color="auto" w:fill="auto"/>
            <w:tcMar>
              <w:top w:w="100" w:type="dxa"/>
              <w:left w:w="100" w:type="dxa"/>
              <w:bottom w:w="100" w:type="dxa"/>
              <w:right w:w="100" w:type="dxa"/>
            </w:tcMar>
          </w:tcPr>
          <w:p w14:paraId="6163B0F9"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7.2-24</w:t>
            </w:r>
          </w:p>
        </w:tc>
      </w:tr>
      <w:tr w:rsidR="006A261E" w14:paraId="4E52A292" w14:textId="77777777">
        <w:tc>
          <w:tcPr>
            <w:tcW w:w="1740" w:type="dxa"/>
            <w:shd w:val="clear" w:color="auto" w:fill="auto"/>
            <w:tcMar>
              <w:top w:w="100" w:type="dxa"/>
              <w:left w:w="100" w:type="dxa"/>
              <w:bottom w:w="100" w:type="dxa"/>
              <w:right w:w="100" w:type="dxa"/>
            </w:tcMar>
          </w:tcPr>
          <w:p w14:paraId="540F6A3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Biweekly</w:t>
            </w:r>
          </w:p>
        </w:tc>
        <w:tc>
          <w:tcPr>
            <w:tcW w:w="1755" w:type="dxa"/>
            <w:shd w:val="clear" w:color="auto" w:fill="auto"/>
            <w:tcMar>
              <w:top w:w="100" w:type="dxa"/>
              <w:left w:w="100" w:type="dxa"/>
              <w:bottom w:w="100" w:type="dxa"/>
              <w:right w:w="100" w:type="dxa"/>
            </w:tcMar>
          </w:tcPr>
          <w:p w14:paraId="6E6B8AF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26</w:t>
            </w:r>
          </w:p>
        </w:tc>
        <w:tc>
          <w:tcPr>
            <w:tcW w:w="1725" w:type="dxa"/>
            <w:shd w:val="clear" w:color="auto" w:fill="auto"/>
            <w:tcMar>
              <w:top w:w="100" w:type="dxa"/>
              <w:left w:w="100" w:type="dxa"/>
              <w:bottom w:w="100" w:type="dxa"/>
              <w:right w:w="100" w:type="dxa"/>
            </w:tcMar>
          </w:tcPr>
          <w:p w14:paraId="2EBDFECB"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.03</w:t>
            </w:r>
          </w:p>
        </w:tc>
        <w:tc>
          <w:tcPr>
            <w:tcW w:w="1740" w:type="dxa"/>
            <w:shd w:val="clear" w:color="auto" w:fill="auto"/>
            <w:tcMar>
              <w:top w:w="100" w:type="dxa"/>
              <w:left w:w="100" w:type="dxa"/>
              <w:bottom w:w="100" w:type="dxa"/>
              <w:right w:w="100" w:type="dxa"/>
            </w:tcMar>
          </w:tcPr>
          <w:p w14:paraId="49E470E9"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1.0</w:t>
            </w:r>
          </w:p>
        </w:tc>
        <w:tc>
          <w:tcPr>
            <w:tcW w:w="1665" w:type="dxa"/>
            <w:shd w:val="clear" w:color="auto" w:fill="auto"/>
            <w:tcMar>
              <w:top w:w="100" w:type="dxa"/>
              <w:left w:w="100" w:type="dxa"/>
              <w:bottom w:w="100" w:type="dxa"/>
              <w:right w:w="100" w:type="dxa"/>
            </w:tcMar>
          </w:tcPr>
          <w:p w14:paraId="5BCC7934"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.78-26</w:t>
            </w:r>
          </w:p>
        </w:tc>
      </w:tr>
      <w:tr w:rsidR="006A261E" w14:paraId="691061AA" w14:textId="77777777">
        <w:tc>
          <w:tcPr>
            <w:tcW w:w="1740" w:type="dxa"/>
            <w:shd w:val="clear" w:color="auto" w:fill="auto"/>
            <w:tcMar>
              <w:top w:w="100" w:type="dxa"/>
              <w:left w:w="100" w:type="dxa"/>
              <w:bottom w:w="100" w:type="dxa"/>
              <w:right w:w="100" w:type="dxa"/>
            </w:tcMar>
          </w:tcPr>
          <w:p w14:paraId="53339D5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Weekly</w:t>
            </w:r>
          </w:p>
        </w:tc>
        <w:tc>
          <w:tcPr>
            <w:tcW w:w="1755" w:type="dxa"/>
            <w:shd w:val="clear" w:color="auto" w:fill="auto"/>
            <w:tcMar>
              <w:top w:w="100" w:type="dxa"/>
              <w:left w:w="100" w:type="dxa"/>
              <w:bottom w:w="100" w:type="dxa"/>
              <w:right w:w="100" w:type="dxa"/>
            </w:tcMar>
          </w:tcPr>
          <w:p w14:paraId="7E281ECB"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52</w:t>
            </w:r>
          </w:p>
        </w:tc>
        <w:tc>
          <w:tcPr>
            <w:tcW w:w="1725" w:type="dxa"/>
            <w:shd w:val="clear" w:color="auto" w:fill="auto"/>
            <w:tcMar>
              <w:top w:w="100" w:type="dxa"/>
              <w:left w:w="100" w:type="dxa"/>
              <w:bottom w:w="100" w:type="dxa"/>
              <w:right w:w="100" w:type="dxa"/>
            </w:tcMar>
          </w:tcPr>
          <w:p w14:paraId="64324C2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.03</w:t>
            </w:r>
          </w:p>
        </w:tc>
        <w:tc>
          <w:tcPr>
            <w:tcW w:w="1740" w:type="dxa"/>
            <w:shd w:val="clear" w:color="auto" w:fill="auto"/>
            <w:tcMar>
              <w:top w:w="100" w:type="dxa"/>
              <w:left w:w="100" w:type="dxa"/>
              <w:bottom w:w="100" w:type="dxa"/>
              <w:right w:w="100" w:type="dxa"/>
            </w:tcMar>
          </w:tcPr>
          <w:p w14:paraId="78A1530E"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1.0</w:t>
            </w:r>
          </w:p>
        </w:tc>
        <w:tc>
          <w:tcPr>
            <w:tcW w:w="1665" w:type="dxa"/>
            <w:shd w:val="clear" w:color="auto" w:fill="auto"/>
            <w:tcMar>
              <w:top w:w="100" w:type="dxa"/>
              <w:left w:w="100" w:type="dxa"/>
              <w:bottom w:w="100" w:type="dxa"/>
              <w:right w:w="100" w:type="dxa"/>
            </w:tcMar>
          </w:tcPr>
          <w:p w14:paraId="5FFC31D3"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1.56-52</w:t>
            </w:r>
          </w:p>
        </w:tc>
      </w:tr>
    </w:tbl>
    <w:p w14:paraId="347F93D2" w14:textId="77777777" w:rsidR="006A261E" w:rsidRDefault="00935D1B">
      <w:pPr>
        <w:spacing w:after="0"/>
        <w:ind w:left="1080"/>
        <w:rPr>
          <w:rFonts w:ascii="Arial" w:eastAsia="Arial" w:hAnsi="Arial" w:cs="Arial"/>
          <w:color w:val="222222"/>
        </w:rPr>
      </w:pPr>
      <w:r>
        <w:rPr>
          <w:rFonts w:ascii="Arial" w:eastAsia="Arial" w:hAnsi="Arial" w:cs="Arial"/>
          <w:noProof/>
          <w:color w:val="222222"/>
        </w:rPr>
        <w:drawing>
          <wp:inline distT="114300" distB="114300" distL="114300" distR="114300" wp14:anchorId="37FF1553" wp14:editId="4FE1DEB4">
            <wp:extent cx="4942597" cy="3706947"/>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942597" cy="3706947"/>
                    </a:xfrm>
                    <a:prstGeom prst="rect">
                      <a:avLst/>
                    </a:prstGeom>
                    <a:ln/>
                  </pic:spPr>
                </pic:pic>
              </a:graphicData>
            </a:graphic>
          </wp:inline>
        </w:drawing>
      </w:r>
    </w:p>
    <w:p w14:paraId="1D56A9B2"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If the ratio of Biennial data to OSHA data (among the values over 1) does not fall in the range of ratios corresponding with its payroll period (from step 2div), exclude the facility. It likely did not report for the year, but we don’t know why its staff hours are too high.</w:t>
      </w:r>
    </w:p>
    <w:p w14:paraId="20B8D34E"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For the facilities with ratios of Biennial to OSHA data </w:t>
      </w:r>
      <w:r>
        <w:rPr>
          <w:rFonts w:ascii="Arial" w:eastAsia="Arial" w:hAnsi="Arial" w:cs="Arial"/>
          <w:color w:val="222222"/>
        </w:rPr>
        <w:t>&gt;</w:t>
      </w:r>
      <w:r>
        <w:rPr>
          <w:rFonts w:ascii="Arial" w:eastAsia="Arial" w:hAnsi="Arial" w:cs="Arial"/>
          <w:color w:val="222222"/>
        </w:rPr>
        <w:t xml:space="preserve">1, if the Biennial/OSHA ratio falls within the </w:t>
      </w:r>
      <w:r>
        <w:rPr>
          <w:rFonts w:ascii="Arial" w:eastAsia="Arial" w:hAnsi="Arial" w:cs="Arial"/>
          <w:color w:val="222222"/>
        </w:rPr>
        <w:t>1st</w:t>
      </w:r>
      <w:r>
        <w:rPr>
          <w:rFonts w:ascii="Arial" w:eastAsia="Arial" w:hAnsi="Arial" w:cs="Arial"/>
          <w:color w:val="222222"/>
        </w:rPr>
        <w:t>-9</w:t>
      </w:r>
      <w:r>
        <w:rPr>
          <w:rFonts w:ascii="Arial" w:eastAsia="Arial" w:hAnsi="Arial" w:cs="Arial"/>
          <w:color w:val="222222"/>
        </w:rPr>
        <w:t>9</w:t>
      </w:r>
      <w:r>
        <w:rPr>
          <w:rFonts w:ascii="Arial" w:eastAsia="Arial" w:hAnsi="Arial" w:cs="Arial"/>
          <w:color w:val="222222"/>
        </w:rPr>
        <w:t xml:space="preserve">th percentile values of the </w:t>
      </w:r>
      <w:r>
        <w:rPr>
          <w:rFonts w:ascii="Arial" w:eastAsia="Arial" w:hAnsi="Arial" w:cs="Arial"/>
          <w:b/>
          <w:color w:val="222222"/>
        </w:rPr>
        <w:t>Biennial/OSHA ratios</w:t>
      </w:r>
      <w:r>
        <w:rPr>
          <w:rFonts w:ascii="Arial" w:eastAsia="Arial" w:hAnsi="Arial" w:cs="Arial"/>
          <w:color w:val="222222"/>
        </w:rPr>
        <w:t xml:space="preserve"> corresponding with its payroll period potentially reporting for the year (from step 2div), create a flag indicating that the AL may have reported yearly numbers.</w:t>
      </w:r>
    </w:p>
    <w:p w14:paraId="6D8F0F4E" w14:textId="77777777" w:rsidR="006A261E" w:rsidRDefault="006A261E">
      <w:pPr>
        <w:spacing w:after="0"/>
        <w:ind w:left="1080"/>
        <w:rPr>
          <w:rFonts w:ascii="Arial" w:eastAsia="Arial" w:hAnsi="Arial" w:cs="Arial"/>
          <w:color w:val="222222"/>
        </w:rPr>
      </w:pPr>
    </w:p>
    <w:p w14:paraId="244B177A" w14:textId="77777777" w:rsidR="006A261E" w:rsidRDefault="006A261E">
      <w:pPr>
        <w:spacing w:after="0"/>
        <w:ind w:left="1080"/>
        <w:rPr>
          <w:rFonts w:ascii="Arial" w:eastAsia="Arial" w:hAnsi="Arial" w:cs="Arial"/>
          <w:color w:val="222222"/>
        </w:rPr>
      </w:pPr>
    </w:p>
    <w:tbl>
      <w:tblPr>
        <w:tblStyle w:val="a4"/>
        <w:tblW w:w="8280"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2760"/>
        <w:gridCol w:w="2760"/>
      </w:tblGrid>
      <w:tr w:rsidR="006A261E" w14:paraId="7EAFC619" w14:textId="77777777">
        <w:tc>
          <w:tcPr>
            <w:tcW w:w="2760" w:type="dxa"/>
            <w:shd w:val="clear" w:color="auto" w:fill="auto"/>
            <w:tcMar>
              <w:top w:w="100" w:type="dxa"/>
              <w:left w:w="100" w:type="dxa"/>
              <w:bottom w:w="100" w:type="dxa"/>
              <w:right w:w="100" w:type="dxa"/>
            </w:tcMar>
          </w:tcPr>
          <w:p w14:paraId="6FD06BC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lastRenderedPageBreak/>
              <w:t>Staffing module/OSHA ratio reported</w:t>
            </w:r>
          </w:p>
        </w:tc>
        <w:tc>
          <w:tcPr>
            <w:tcW w:w="2760" w:type="dxa"/>
            <w:shd w:val="clear" w:color="auto" w:fill="auto"/>
            <w:tcMar>
              <w:top w:w="100" w:type="dxa"/>
              <w:left w:w="100" w:type="dxa"/>
              <w:bottom w:w="100" w:type="dxa"/>
              <w:right w:w="100" w:type="dxa"/>
            </w:tcMar>
          </w:tcPr>
          <w:p w14:paraId="29C37D92"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Range of staffing module/OSHA ratios potentially reporting for year</w:t>
            </w:r>
          </w:p>
        </w:tc>
        <w:tc>
          <w:tcPr>
            <w:tcW w:w="2760" w:type="dxa"/>
            <w:shd w:val="clear" w:color="auto" w:fill="auto"/>
            <w:tcMar>
              <w:top w:w="100" w:type="dxa"/>
              <w:left w:w="100" w:type="dxa"/>
              <w:bottom w:w="100" w:type="dxa"/>
              <w:right w:w="100" w:type="dxa"/>
            </w:tcMar>
          </w:tcPr>
          <w:p w14:paraId="4BB5209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Reported for year: yes/no</w:t>
            </w:r>
          </w:p>
        </w:tc>
      </w:tr>
      <w:tr w:rsidR="006A261E" w14:paraId="7B08524F" w14:textId="77777777">
        <w:tc>
          <w:tcPr>
            <w:tcW w:w="2760" w:type="dxa"/>
            <w:shd w:val="clear" w:color="auto" w:fill="auto"/>
            <w:tcMar>
              <w:top w:w="100" w:type="dxa"/>
              <w:left w:w="100" w:type="dxa"/>
              <w:bottom w:w="100" w:type="dxa"/>
              <w:right w:w="100" w:type="dxa"/>
            </w:tcMar>
          </w:tcPr>
          <w:p w14:paraId="384FA25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15.1622</w:t>
            </w:r>
          </w:p>
        </w:tc>
        <w:tc>
          <w:tcPr>
            <w:tcW w:w="2760" w:type="dxa"/>
            <w:shd w:val="clear" w:color="auto" w:fill="auto"/>
            <w:tcMar>
              <w:top w:w="100" w:type="dxa"/>
              <w:left w:w="100" w:type="dxa"/>
              <w:bottom w:w="100" w:type="dxa"/>
              <w:right w:w="100" w:type="dxa"/>
            </w:tcMar>
          </w:tcPr>
          <w:p w14:paraId="6213EE2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2.34-24.96</w:t>
            </w:r>
          </w:p>
        </w:tc>
        <w:tc>
          <w:tcPr>
            <w:tcW w:w="2760" w:type="dxa"/>
            <w:shd w:val="clear" w:color="auto" w:fill="auto"/>
            <w:tcMar>
              <w:top w:w="100" w:type="dxa"/>
              <w:left w:w="100" w:type="dxa"/>
              <w:bottom w:w="100" w:type="dxa"/>
              <w:right w:w="100" w:type="dxa"/>
            </w:tcMar>
          </w:tcPr>
          <w:p w14:paraId="31A3FC0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Yes</w:t>
            </w:r>
          </w:p>
        </w:tc>
      </w:tr>
      <w:tr w:rsidR="006A261E" w14:paraId="6D23E08E" w14:textId="77777777">
        <w:tc>
          <w:tcPr>
            <w:tcW w:w="2760" w:type="dxa"/>
            <w:shd w:val="clear" w:color="auto" w:fill="auto"/>
            <w:tcMar>
              <w:top w:w="100" w:type="dxa"/>
              <w:left w:w="100" w:type="dxa"/>
              <w:bottom w:w="100" w:type="dxa"/>
              <w:right w:w="100" w:type="dxa"/>
            </w:tcMar>
          </w:tcPr>
          <w:p w14:paraId="094AA2A1"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14.7985</w:t>
            </w:r>
          </w:p>
        </w:tc>
        <w:tc>
          <w:tcPr>
            <w:tcW w:w="2760" w:type="dxa"/>
            <w:shd w:val="clear" w:color="auto" w:fill="auto"/>
            <w:tcMar>
              <w:top w:w="100" w:type="dxa"/>
              <w:left w:w="100" w:type="dxa"/>
              <w:bottom w:w="100" w:type="dxa"/>
              <w:right w:w="100" w:type="dxa"/>
            </w:tcMar>
          </w:tcPr>
          <w:p w14:paraId="0F4DACC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2.34-24.96</w:t>
            </w:r>
          </w:p>
        </w:tc>
        <w:tc>
          <w:tcPr>
            <w:tcW w:w="2760" w:type="dxa"/>
            <w:shd w:val="clear" w:color="auto" w:fill="auto"/>
            <w:tcMar>
              <w:top w:w="100" w:type="dxa"/>
              <w:left w:w="100" w:type="dxa"/>
              <w:bottom w:w="100" w:type="dxa"/>
              <w:right w:w="100" w:type="dxa"/>
            </w:tcMar>
          </w:tcPr>
          <w:p w14:paraId="31E9B079"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Yes</w:t>
            </w:r>
          </w:p>
        </w:tc>
      </w:tr>
      <w:tr w:rsidR="006A261E" w14:paraId="4BC8B2E5" w14:textId="77777777">
        <w:tc>
          <w:tcPr>
            <w:tcW w:w="2760" w:type="dxa"/>
            <w:shd w:val="clear" w:color="auto" w:fill="auto"/>
            <w:tcMar>
              <w:top w:w="100" w:type="dxa"/>
              <w:left w:w="100" w:type="dxa"/>
              <w:bottom w:w="100" w:type="dxa"/>
              <w:right w:w="100" w:type="dxa"/>
            </w:tcMar>
          </w:tcPr>
          <w:p w14:paraId="146A962F"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3.0000</w:t>
            </w:r>
          </w:p>
        </w:tc>
        <w:tc>
          <w:tcPr>
            <w:tcW w:w="2760" w:type="dxa"/>
            <w:shd w:val="clear" w:color="auto" w:fill="auto"/>
            <w:tcMar>
              <w:top w:w="100" w:type="dxa"/>
              <w:left w:w="100" w:type="dxa"/>
              <w:bottom w:w="100" w:type="dxa"/>
              <w:right w:w="100" w:type="dxa"/>
            </w:tcMar>
          </w:tcPr>
          <w:p w14:paraId="58104072"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2.34-24.96</w:t>
            </w:r>
          </w:p>
        </w:tc>
        <w:tc>
          <w:tcPr>
            <w:tcW w:w="2760" w:type="dxa"/>
            <w:shd w:val="clear" w:color="auto" w:fill="auto"/>
            <w:tcMar>
              <w:top w:w="100" w:type="dxa"/>
              <w:left w:w="100" w:type="dxa"/>
              <w:bottom w:w="100" w:type="dxa"/>
              <w:right w:w="100" w:type="dxa"/>
            </w:tcMar>
          </w:tcPr>
          <w:p w14:paraId="0285382C"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Yes</w:t>
            </w:r>
          </w:p>
        </w:tc>
      </w:tr>
      <w:tr w:rsidR="006A261E" w14:paraId="068A464D" w14:textId="77777777">
        <w:tc>
          <w:tcPr>
            <w:tcW w:w="2760" w:type="dxa"/>
            <w:shd w:val="clear" w:color="auto" w:fill="auto"/>
            <w:tcMar>
              <w:top w:w="100" w:type="dxa"/>
              <w:left w:w="100" w:type="dxa"/>
              <w:bottom w:w="100" w:type="dxa"/>
              <w:right w:w="100" w:type="dxa"/>
            </w:tcMar>
          </w:tcPr>
          <w:p w14:paraId="6D83DCE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17449.71</w:t>
            </w:r>
          </w:p>
        </w:tc>
        <w:tc>
          <w:tcPr>
            <w:tcW w:w="2760" w:type="dxa"/>
            <w:shd w:val="clear" w:color="auto" w:fill="auto"/>
            <w:tcMar>
              <w:top w:w="100" w:type="dxa"/>
              <w:left w:w="100" w:type="dxa"/>
              <w:bottom w:w="100" w:type="dxa"/>
              <w:right w:w="100" w:type="dxa"/>
            </w:tcMar>
          </w:tcPr>
          <w:p w14:paraId="76BE4F0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2.34-24.96</w:t>
            </w:r>
          </w:p>
        </w:tc>
        <w:tc>
          <w:tcPr>
            <w:tcW w:w="2760" w:type="dxa"/>
            <w:shd w:val="clear" w:color="auto" w:fill="auto"/>
            <w:tcMar>
              <w:top w:w="100" w:type="dxa"/>
              <w:left w:w="100" w:type="dxa"/>
              <w:bottom w:w="100" w:type="dxa"/>
              <w:right w:w="100" w:type="dxa"/>
            </w:tcMar>
          </w:tcPr>
          <w:p w14:paraId="7DE99F1E"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No</w:t>
            </w:r>
          </w:p>
        </w:tc>
      </w:tr>
      <w:tr w:rsidR="006A261E" w14:paraId="4E883FCB" w14:textId="77777777">
        <w:tc>
          <w:tcPr>
            <w:tcW w:w="2760" w:type="dxa"/>
            <w:shd w:val="clear" w:color="auto" w:fill="auto"/>
            <w:tcMar>
              <w:top w:w="100" w:type="dxa"/>
              <w:left w:w="100" w:type="dxa"/>
              <w:bottom w:w="100" w:type="dxa"/>
              <w:right w:w="100" w:type="dxa"/>
            </w:tcMar>
          </w:tcPr>
          <w:p w14:paraId="01B7A9F4"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27.00</w:t>
            </w:r>
          </w:p>
        </w:tc>
        <w:tc>
          <w:tcPr>
            <w:tcW w:w="2760" w:type="dxa"/>
            <w:shd w:val="clear" w:color="auto" w:fill="auto"/>
            <w:tcMar>
              <w:top w:w="100" w:type="dxa"/>
              <w:left w:w="100" w:type="dxa"/>
              <w:bottom w:w="100" w:type="dxa"/>
              <w:right w:w="100" w:type="dxa"/>
            </w:tcMar>
          </w:tcPr>
          <w:p w14:paraId="7DFFAF0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2.34-24.96</w:t>
            </w:r>
          </w:p>
        </w:tc>
        <w:tc>
          <w:tcPr>
            <w:tcW w:w="2760" w:type="dxa"/>
            <w:shd w:val="clear" w:color="auto" w:fill="auto"/>
            <w:tcMar>
              <w:top w:w="100" w:type="dxa"/>
              <w:left w:w="100" w:type="dxa"/>
              <w:bottom w:w="100" w:type="dxa"/>
              <w:right w:w="100" w:type="dxa"/>
            </w:tcMar>
          </w:tcPr>
          <w:p w14:paraId="54EACB5B"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No</w:t>
            </w:r>
          </w:p>
        </w:tc>
      </w:tr>
      <w:tr w:rsidR="006A261E" w14:paraId="66127EA8" w14:textId="77777777">
        <w:tc>
          <w:tcPr>
            <w:tcW w:w="2760" w:type="dxa"/>
            <w:shd w:val="clear" w:color="auto" w:fill="auto"/>
            <w:tcMar>
              <w:top w:w="100" w:type="dxa"/>
              <w:left w:w="100" w:type="dxa"/>
              <w:bottom w:w="100" w:type="dxa"/>
              <w:right w:w="100" w:type="dxa"/>
            </w:tcMar>
          </w:tcPr>
          <w:p w14:paraId="5C04318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0.56</w:t>
            </w:r>
          </w:p>
        </w:tc>
        <w:tc>
          <w:tcPr>
            <w:tcW w:w="2760" w:type="dxa"/>
            <w:shd w:val="clear" w:color="auto" w:fill="auto"/>
            <w:tcMar>
              <w:top w:w="100" w:type="dxa"/>
              <w:left w:w="100" w:type="dxa"/>
              <w:bottom w:w="100" w:type="dxa"/>
              <w:right w:w="100" w:type="dxa"/>
            </w:tcMar>
          </w:tcPr>
          <w:p w14:paraId="27EBE4C7"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2.34-24.96</w:t>
            </w:r>
          </w:p>
        </w:tc>
        <w:tc>
          <w:tcPr>
            <w:tcW w:w="2760" w:type="dxa"/>
            <w:shd w:val="clear" w:color="auto" w:fill="auto"/>
            <w:tcMar>
              <w:top w:w="100" w:type="dxa"/>
              <w:left w:w="100" w:type="dxa"/>
              <w:bottom w:w="100" w:type="dxa"/>
              <w:right w:w="100" w:type="dxa"/>
            </w:tcMar>
          </w:tcPr>
          <w:p w14:paraId="1FB461A3"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No</w:t>
            </w:r>
          </w:p>
        </w:tc>
      </w:tr>
    </w:tbl>
    <w:p w14:paraId="6E91E811" w14:textId="77777777" w:rsidR="006A261E" w:rsidRDefault="006A261E">
      <w:pPr>
        <w:spacing w:after="0"/>
        <w:ind w:left="1080"/>
        <w:rPr>
          <w:rFonts w:ascii="Arial" w:eastAsia="Arial" w:hAnsi="Arial" w:cs="Arial"/>
          <w:color w:val="222222"/>
        </w:rPr>
      </w:pPr>
    </w:p>
    <w:p w14:paraId="6E80C9BC" w14:textId="77777777" w:rsidR="006A261E" w:rsidRDefault="006A261E">
      <w:pPr>
        <w:pBdr>
          <w:top w:val="nil"/>
          <w:left w:val="nil"/>
          <w:bottom w:val="nil"/>
          <w:right w:val="nil"/>
          <w:between w:val="nil"/>
        </w:pBdr>
        <w:spacing w:after="0"/>
        <w:ind w:left="1080"/>
        <w:rPr>
          <w:rFonts w:ascii="Arial" w:eastAsia="Arial" w:hAnsi="Arial" w:cs="Arial"/>
          <w:color w:val="222222"/>
        </w:rPr>
      </w:pPr>
    </w:p>
    <w:p w14:paraId="5DC83159"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For facilities flagged in 2dvi as reporting for the year and are i</w:t>
      </w:r>
      <w:r>
        <w:rPr>
          <w:rFonts w:ascii="Arial" w:eastAsia="Arial" w:hAnsi="Arial" w:cs="Arial"/>
          <w:color w:val="222222"/>
        </w:rPr>
        <w:t>mplausibly high</w:t>
      </w:r>
      <w:r>
        <w:rPr>
          <w:rFonts w:ascii="Arial" w:eastAsia="Arial" w:hAnsi="Arial" w:cs="Arial"/>
          <w:color w:val="222222"/>
        </w:rPr>
        <w:t xml:space="preserve">, correct the hours per resident day value for yearly reporting by dividing the original staffing value by 365 before </w:t>
      </w:r>
      <w:proofErr w:type="gramStart"/>
      <w:r>
        <w:rPr>
          <w:rFonts w:ascii="Arial" w:eastAsia="Arial" w:hAnsi="Arial" w:cs="Arial"/>
          <w:color w:val="222222"/>
        </w:rPr>
        <w:t>dividing</w:t>
      </w:r>
      <w:proofErr w:type="gramEnd"/>
      <w:r>
        <w:rPr>
          <w:rFonts w:ascii="Arial" w:eastAsia="Arial" w:hAnsi="Arial" w:cs="Arial"/>
          <w:color w:val="222222"/>
        </w:rPr>
        <w:t xml:space="preserve"> by resident day.</w:t>
      </w:r>
    </w:p>
    <w:p w14:paraId="641A0D81"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If the aide or total staffing values per resident day are still too high after dividing the total staff number by 365 (i.e., aide hours &gt;=5.25 hours per resident day or total staff per resident day &gt;=12), exclude the facility. Take note of how many are excluded.</w:t>
      </w:r>
    </w:p>
    <w:p w14:paraId="5684F676"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If the aide or total values per resident day are &lt;5.25 and the total staff hours per resident day are &lt;12 after dividing the original total staffing value by 365, use the corrected values in the cleaned dataset.</w:t>
      </w:r>
    </w:p>
    <w:p w14:paraId="45EFFC96" w14:textId="77777777" w:rsidR="006A261E" w:rsidRDefault="006A261E">
      <w:pPr>
        <w:pBdr>
          <w:top w:val="nil"/>
          <w:left w:val="nil"/>
          <w:bottom w:val="nil"/>
          <w:right w:val="nil"/>
          <w:between w:val="nil"/>
        </w:pBdr>
        <w:spacing w:after="0"/>
        <w:rPr>
          <w:rFonts w:ascii="Arial" w:eastAsia="Arial" w:hAnsi="Arial" w:cs="Arial"/>
          <w:color w:val="222222"/>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A261E" w14:paraId="77982336" w14:textId="77777777">
        <w:tc>
          <w:tcPr>
            <w:tcW w:w="3120" w:type="dxa"/>
            <w:shd w:val="clear" w:color="auto" w:fill="auto"/>
            <w:tcMar>
              <w:top w:w="100" w:type="dxa"/>
              <w:left w:w="100" w:type="dxa"/>
              <w:bottom w:w="100" w:type="dxa"/>
              <w:right w:w="100" w:type="dxa"/>
            </w:tcMar>
          </w:tcPr>
          <w:p w14:paraId="22B9D9AA"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Original total staff hour per resident day value</w:t>
            </w:r>
          </w:p>
        </w:tc>
        <w:tc>
          <w:tcPr>
            <w:tcW w:w="3120" w:type="dxa"/>
            <w:shd w:val="clear" w:color="auto" w:fill="auto"/>
            <w:tcMar>
              <w:top w:w="100" w:type="dxa"/>
              <w:left w:w="100" w:type="dxa"/>
              <w:bottom w:w="100" w:type="dxa"/>
              <w:right w:w="100" w:type="dxa"/>
            </w:tcMar>
          </w:tcPr>
          <w:p w14:paraId="4EE01A0F"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 xml:space="preserve">Staff hour per resident day value after correcting for yearly reporting </w:t>
            </w:r>
          </w:p>
        </w:tc>
        <w:tc>
          <w:tcPr>
            <w:tcW w:w="3120" w:type="dxa"/>
            <w:shd w:val="clear" w:color="auto" w:fill="auto"/>
            <w:tcMar>
              <w:top w:w="100" w:type="dxa"/>
              <w:left w:w="100" w:type="dxa"/>
              <w:bottom w:w="100" w:type="dxa"/>
              <w:right w:w="100" w:type="dxa"/>
            </w:tcMar>
          </w:tcPr>
          <w:p w14:paraId="0654A059"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Keep corrected value or exclude entirely from dataset</w:t>
            </w:r>
          </w:p>
        </w:tc>
      </w:tr>
      <w:tr w:rsidR="006A261E" w14:paraId="1B038502" w14:textId="77777777">
        <w:tc>
          <w:tcPr>
            <w:tcW w:w="3120" w:type="dxa"/>
            <w:shd w:val="clear" w:color="auto" w:fill="auto"/>
            <w:tcMar>
              <w:top w:w="100" w:type="dxa"/>
              <w:left w:w="100" w:type="dxa"/>
              <w:bottom w:w="100" w:type="dxa"/>
              <w:right w:w="100" w:type="dxa"/>
            </w:tcMar>
          </w:tcPr>
          <w:p w14:paraId="228BC741"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478.614</w:t>
            </w:r>
          </w:p>
        </w:tc>
        <w:tc>
          <w:tcPr>
            <w:tcW w:w="3120" w:type="dxa"/>
            <w:shd w:val="clear" w:color="auto" w:fill="auto"/>
            <w:tcMar>
              <w:top w:w="100" w:type="dxa"/>
              <w:left w:w="100" w:type="dxa"/>
              <w:bottom w:w="100" w:type="dxa"/>
              <w:right w:w="100" w:type="dxa"/>
            </w:tcMar>
          </w:tcPr>
          <w:p w14:paraId="6767CD2C"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19.8877</w:t>
            </w:r>
          </w:p>
        </w:tc>
        <w:tc>
          <w:tcPr>
            <w:tcW w:w="3120" w:type="dxa"/>
            <w:shd w:val="clear" w:color="auto" w:fill="auto"/>
            <w:tcMar>
              <w:top w:w="100" w:type="dxa"/>
              <w:left w:w="100" w:type="dxa"/>
              <w:bottom w:w="100" w:type="dxa"/>
              <w:right w:w="100" w:type="dxa"/>
            </w:tcMar>
          </w:tcPr>
          <w:p w14:paraId="1436F28B"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Exclude</w:t>
            </w:r>
          </w:p>
        </w:tc>
      </w:tr>
      <w:tr w:rsidR="006A261E" w14:paraId="38381994" w14:textId="77777777">
        <w:tc>
          <w:tcPr>
            <w:tcW w:w="3120" w:type="dxa"/>
            <w:shd w:val="clear" w:color="auto" w:fill="auto"/>
            <w:tcMar>
              <w:top w:w="100" w:type="dxa"/>
              <w:left w:w="100" w:type="dxa"/>
              <w:bottom w:w="100" w:type="dxa"/>
              <w:right w:w="100" w:type="dxa"/>
            </w:tcMar>
          </w:tcPr>
          <w:p w14:paraId="71124E47"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99.583</w:t>
            </w:r>
          </w:p>
        </w:tc>
        <w:tc>
          <w:tcPr>
            <w:tcW w:w="3120" w:type="dxa"/>
            <w:shd w:val="clear" w:color="auto" w:fill="auto"/>
            <w:tcMar>
              <w:top w:w="100" w:type="dxa"/>
              <w:left w:w="100" w:type="dxa"/>
              <w:bottom w:w="100" w:type="dxa"/>
              <w:right w:w="100" w:type="dxa"/>
            </w:tcMar>
          </w:tcPr>
          <w:p w14:paraId="6651EE9B"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3.8196</w:t>
            </w:r>
          </w:p>
        </w:tc>
        <w:tc>
          <w:tcPr>
            <w:tcW w:w="3120" w:type="dxa"/>
            <w:shd w:val="clear" w:color="auto" w:fill="auto"/>
            <w:tcMar>
              <w:top w:w="100" w:type="dxa"/>
              <w:left w:w="100" w:type="dxa"/>
              <w:bottom w:w="100" w:type="dxa"/>
              <w:right w:w="100" w:type="dxa"/>
            </w:tcMar>
          </w:tcPr>
          <w:p w14:paraId="703B910A"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Keep</w:t>
            </w:r>
          </w:p>
        </w:tc>
      </w:tr>
      <w:tr w:rsidR="006A261E" w14:paraId="151B6DFC" w14:textId="77777777">
        <w:tc>
          <w:tcPr>
            <w:tcW w:w="3120" w:type="dxa"/>
            <w:shd w:val="clear" w:color="auto" w:fill="auto"/>
            <w:tcMar>
              <w:top w:w="100" w:type="dxa"/>
              <w:left w:w="100" w:type="dxa"/>
              <w:bottom w:w="100" w:type="dxa"/>
              <w:right w:w="100" w:type="dxa"/>
            </w:tcMar>
          </w:tcPr>
          <w:p w14:paraId="5B3A20CD"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52.147</w:t>
            </w:r>
          </w:p>
        </w:tc>
        <w:tc>
          <w:tcPr>
            <w:tcW w:w="3120" w:type="dxa"/>
            <w:shd w:val="clear" w:color="auto" w:fill="auto"/>
            <w:tcMar>
              <w:top w:w="100" w:type="dxa"/>
              <w:left w:w="100" w:type="dxa"/>
              <w:bottom w:w="100" w:type="dxa"/>
              <w:right w:w="100" w:type="dxa"/>
            </w:tcMar>
          </w:tcPr>
          <w:p w14:paraId="600930BD"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2.0000</w:t>
            </w:r>
          </w:p>
        </w:tc>
        <w:tc>
          <w:tcPr>
            <w:tcW w:w="3120" w:type="dxa"/>
            <w:shd w:val="clear" w:color="auto" w:fill="auto"/>
            <w:tcMar>
              <w:top w:w="100" w:type="dxa"/>
              <w:left w:w="100" w:type="dxa"/>
              <w:bottom w:w="100" w:type="dxa"/>
              <w:right w:w="100" w:type="dxa"/>
            </w:tcMar>
          </w:tcPr>
          <w:p w14:paraId="5B9F9B73" w14:textId="77777777" w:rsidR="006A261E" w:rsidRDefault="00935D1B">
            <w:pPr>
              <w:widowControl w:val="0"/>
              <w:pBdr>
                <w:top w:val="nil"/>
                <w:left w:val="nil"/>
                <w:bottom w:val="nil"/>
                <w:right w:val="nil"/>
                <w:between w:val="nil"/>
              </w:pBdr>
              <w:spacing w:after="0" w:line="240" w:lineRule="auto"/>
              <w:rPr>
                <w:rFonts w:ascii="Arial" w:eastAsia="Arial" w:hAnsi="Arial" w:cs="Arial"/>
                <w:color w:val="222222"/>
              </w:rPr>
            </w:pPr>
            <w:r>
              <w:rPr>
                <w:rFonts w:ascii="Arial" w:eastAsia="Arial" w:hAnsi="Arial" w:cs="Arial"/>
                <w:color w:val="222222"/>
              </w:rPr>
              <w:t>Keep</w:t>
            </w:r>
          </w:p>
        </w:tc>
      </w:tr>
    </w:tbl>
    <w:p w14:paraId="585722E7" w14:textId="77777777" w:rsidR="006A261E" w:rsidRDefault="006A261E">
      <w:pPr>
        <w:pBdr>
          <w:top w:val="nil"/>
          <w:left w:val="nil"/>
          <w:bottom w:val="nil"/>
          <w:right w:val="nil"/>
          <w:between w:val="nil"/>
        </w:pBdr>
        <w:spacing w:after="0"/>
        <w:rPr>
          <w:rFonts w:ascii="Arial" w:eastAsia="Arial" w:hAnsi="Arial" w:cs="Arial"/>
          <w:color w:val="222222"/>
        </w:rPr>
      </w:pPr>
    </w:p>
    <w:p w14:paraId="21E2E743" w14:textId="77777777" w:rsidR="006A261E" w:rsidRDefault="006A261E">
      <w:pPr>
        <w:pBdr>
          <w:top w:val="nil"/>
          <w:left w:val="nil"/>
          <w:bottom w:val="nil"/>
          <w:right w:val="nil"/>
          <w:between w:val="nil"/>
        </w:pBdr>
        <w:spacing w:after="0"/>
        <w:rPr>
          <w:rFonts w:ascii="Arial" w:eastAsia="Arial" w:hAnsi="Arial" w:cs="Arial"/>
          <w:color w:val="222222"/>
        </w:rPr>
      </w:pPr>
    </w:p>
    <w:p w14:paraId="18CECC09"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If the number of direct care staff hours per resident day are </w:t>
      </w:r>
      <w:r>
        <w:rPr>
          <w:rFonts w:ascii="Arial" w:eastAsia="Arial" w:hAnsi="Arial" w:cs="Arial"/>
          <w:color w:val="222222"/>
        </w:rPr>
        <w:t xml:space="preserve">&gt;= </w:t>
      </w:r>
      <w:r>
        <w:rPr>
          <w:rFonts w:ascii="Arial" w:eastAsia="Arial" w:hAnsi="Arial" w:cs="Arial"/>
          <w:color w:val="222222"/>
        </w:rPr>
        <w:t>than 5.25 or the total number of staff hours per resident day are &gt;</w:t>
      </w:r>
      <w:r>
        <w:rPr>
          <w:rFonts w:ascii="Arial" w:eastAsia="Arial" w:hAnsi="Arial" w:cs="Arial"/>
          <w:color w:val="222222"/>
        </w:rPr>
        <w:t>=12</w:t>
      </w:r>
      <w:r>
        <w:rPr>
          <w:rFonts w:ascii="Arial" w:eastAsia="Arial" w:hAnsi="Arial" w:cs="Arial"/>
          <w:color w:val="222222"/>
        </w:rPr>
        <w:t xml:space="preserve"> and we </w:t>
      </w:r>
      <w:r>
        <w:rPr>
          <w:rFonts w:ascii="Arial" w:eastAsia="Arial" w:hAnsi="Arial" w:cs="Arial"/>
          <w:b/>
          <w:color w:val="222222"/>
        </w:rPr>
        <w:t xml:space="preserve">do not </w:t>
      </w:r>
      <w:r>
        <w:rPr>
          <w:rFonts w:ascii="Arial" w:eastAsia="Arial" w:hAnsi="Arial" w:cs="Arial"/>
          <w:color w:val="222222"/>
        </w:rPr>
        <w:t>have OSHA data for the facility, check whether the administrator accidentally reported the annual staff hours rather than the hours per payroll period. For facilities where we don’t have OSHA data, we can still use the facilities with the OSHA data to establish an empirically informed ‘plausible’ range for keeping data.</w:t>
      </w:r>
    </w:p>
    <w:p w14:paraId="50762ED0"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For all facilities, convert the total hours of staffing reported in the Biennial Survey of Long-Term care to a yearly value, using the reported payroll period to dictate the </w:t>
      </w:r>
      <w:r>
        <w:rPr>
          <w:rFonts w:ascii="Arial" w:eastAsia="Arial" w:hAnsi="Arial" w:cs="Arial"/>
          <w:color w:val="222222"/>
        </w:rPr>
        <w:lastRenderedPageBreak/>
        <w:t xml:space="preserve">multiplier (e.g., if payroll was monthly, multiply the total staffing value by 12). </w:t>
      </w:r>
      <w:r>
        <w:rPr>
          <w:rFonts w:ascii="Arial" w:eastAsia="Arial" w:hAnsi="Arial" w:cs="Arial"/>
          <w:color w:val="222222"/>
        </w:rPr>
        <w:t>Add the total number of Biennial Staff (aides, RNs, and LPNs) together.</w:t>
      </w:r>
    </w:p>
    <w:p w14:paraId="60EECE95"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Calculate the ratio of yearly staff hours in the Biennial to the total OSHA hours for all facilities where we have data available. For years where the OSHA question is not asked (2007, 2009), we will use values from 2011 (the middle year).</w:t>
      </w:r>
    </w:p>
    <w:p w14:paraId="44780EFC"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Take the </w:t>
      </w:r>
      <w:r>
        <w:rPr>
          <w:rFonts w:ascii="Arial" w:eastAsia="Arial" w:hAnsi="Arial" w:cs="Arial"/>
          <w:color w:val="222222"/>
        </w:rPr>
        <w:t>99th</w:t>
      </w:r>
      <w:r>
        <w:rPr>
          <w:rFonts w:ascii="Arial" w:eastAsia="Arial" w:hAnsi="Arial" w:cs="Arial"/>
          <w:color w:val="222222"/>
        </w:rPr>
        <w:t xml:space="preserve"> percentile value of </w:t>
      </w:r>
      <w:r>
        <w:rPr>
          <w:rFonts w:ascii="Arial" w:eastAsia="Arial" w:hAnsi="Arial" w:cs="Arial"/>
          <w:b/>
          <w:color w:val="222222"/>
        </w:rPr>
        <w:t>total staff hours per resident day</w:t>
      </w:r>
      <w:r>
        <w:rPr>
          <w:rFonts w:ascii="Arial" w:eastAsia="Arial" w:hAnsi="Arial" w:cs="Arial"/>
          <w:color w:val="222222"/>
        </w:rPr>
        <w:t xml:space="preserve"> reported in the Biennial Survey for the facilities with ratios of Biennial data to OSHA data </w:t>
      </w:r>
      <w:r>
        <w:rPr>
          <w:rFonts w:ascii="Arial" w:eastAsia="Arial" w:hAnsi="Arial" w:cs="Arial"/>
          <w:color w:val="222222"/>
        </w:rPr>
        <w:t>&lt;=1</w:t>
      </w:r>
      <w:r>
        <w:rPr>
          <w:rFonts w:ascii="Arial" w:eastAsia="Arial" w:hAnsi="Arial" w:cs="Arial"/>
          <w:color w:val="222222"/>
        </w:rPr>
        <w:t xml:space="preserve"> and multiply them by a factor that corresponds to the payroll period reported in the Biennial data. This step creates a </w:t>
      </w:r>
      <w:r>
        <w:rPr>
          <w:rFonts w:ascii="Arial" w:eastAsia="Arial" w:hAnsi="Arial" w:cs="Arial"/>
          <w:color w:val="222222"/>
        </w:rPr>
        <w:t xml:space="preserve">maximum </w:t>
      </w:r>
      <w:r>
        <w:rPr>
          <w:rFonts w:ascii="Arial" w:eastAsia="Arial" w:hAnsi="Arial" w:cs="Arial"/>
          <w:color w:val="222222"/>
        </w:rPr>
        <w:t xml:space="preserve">of total staff hours per resident day for each payroll type that may represent that an administrator reported for the entire year. We </w:t>
      </w:r>
      <w:r>
        <w:rPr>
          <w:rFonts w:ascii="Arial" w:eastAsia="Arial" w:hAnsi="Arial" w:cs="Arial"/>
          <w:color w:val="222222"/>
        </w:rPr>
        <w:t>did not establish a minimum bound for this step as we did for step 3dv, as the 1st percentile</w:t>
      </w:r>
      <w:r>
        <w:rPr>
          <w:rFonts w:ascii="Arial" w:eastAsia="Arial" w:hAnsi="Arial" w:cs="Arial"/>
          <w:color w:val="222222"/>
        </w:rPr>
        <w:t xml:space="preserve"> value multiplied by the payroll period multiplier was typically a plausible staffing </w:t>
      </w:r>
      <w:proofErr w:type="gramStart"/>
      <w:r>
        <w:rPr>
          <w:rFonts w:ascii="Arial" w:eastAsia="Arial" w:hAnsi="Arial" w:cs="Arial"/>
          <w:color w:val="222222"/>
        </w:rPr>
        <w:t>ratio(</w:t>
      </w:r>
      <w:proofErr w:type="gramEnd"/>
      <w:r>
        <w:rPr>
          <w:rFonts w:ascii="Arial" w:eastAsia="Arial" w:hAnsi="Arial" w:cs="Arial"/>
          <w:color w:val="222222"/>
        </w:rPr>
        <w:t>&lt;12 staff hours per resident day)</w:t>
      </w:r>
    </w:p>
    <w:tbl>
      <w:tblPr>
        <w:tblStyle w:val="a6"/>
        <w:tblW w:w="6885"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1740"/>
        <w:gridCol w:w="1740"/>
        <w:gridCol w:w="1665"/>
      </w:tblGrid>
      <w:tr w:rsidR="006A261E" w14:paraId="20AA2CD9" w14:textId="77777777">
        <w:tc>
          <w:tcPr>
            <w:tcW w:w="1740" w:type="dxa"/>
            <w:shd w:val="clear" w:color="auto" w:fill="auto"/>
            <w:tcMar>
              <w:top w:w="100" w:type="dxa"/>
              <w:left w:w="100" w:type="dxa"/>
              <w:bottom w:w="100" w:type="dxa"/>
              <w:right w:w="100" w:type="dxa"/>
            </w:tcMar>
          </w:tcPr>
          <w:p w14:paraId="4CE39FC1"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Payroll period</w:t>
            </w:r>
          </w:p>
        </w:tc>
        <w:tc>
          <w:tcPr>
            <w:tcW w:w="1740" w:type="dxa"/>
            <w:shd w:val="clear" w:color="auto" w:fill="auto"/>
            <w:tcMar>
              <w:top w:w="100" w:type="dxa"/>
              <w:left w:w="100" w:type="dxa"/>
              <w:bottom w:w="100" w:type="dxa"/>
              <w:right w:w="100" w:type="dxa"/>
            </w:tcMar>
          </w:tcPr>
          <w:p w14:paraId="5374908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Payroll period multiplier</w:t>
            </w:r>
          </w:p>
        </w:tc>
        <w:tc>
          <w:tcPr>
            <w:tcW w:w="1740" w:type="dxa"/>
            <w:shd w:val="clear" w:color="auto" w:fill="auto"/>
            <w:tcMar>
              <w:top w:w="100" w:type="dxa"/>
              <w:left w:w="100" w:type="dxa"/>
              <w:bottom w:w="100" w:type="dxa"/>
              <w:right w:w="100" w:type="dxa"/>
            </w:tcMar>
          </w:tcPr>
          <w:p w14:paraId="39D91D4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99h percentile of staffing hours per resident day</w:t>
            </w:r>
          </w:p>
        </w:tc>
        <w:tc>
          <w:tcPr>
            <w:tcW w:w="1665" w:type="dxa"/>
            <w:shd w:val="clear" w:color="auto" w:fill="auto"/>
            <w:tcMar>
              <w:top w:w="100" w:type="dxa"/>
              <w:left w:w="100" w:type="dxa"/>
              <w:bottom w:w="100" w:type="dxa"/>
              <w:right w:w="100" w:type="dxa"/>
            </w:tcMar>
          </w:tcPr>
          <w:p w14:paraId="5943FF6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Staffing hours per resident day potentially reporting for the year</w:t>
            </w:r>
          </w:p>
        </w:tc>
      </w:tr>
      <w:tr w:rsidR="006A261E" w14:paraId="035D6F76" w14:textId="77777777">
        <w:tc>
          <w:tcPr>
            <w:tcW w:w="1740" w:type="dxa"/>
            <w:shd w:val="clear" w:color="auto" w:fill="auto"/>
            <w:tcMar>
              <w:top w:w="100" w:type="dxa"/>
              <w:left w:w="100" w:type="dxa"/>
              <w:bottom w:w="100" w:type="dxa"/>
              <w:right w:w="100" w:type="dxa"/>
            </w:tcMar>
          </w:tcPr>
          <w:p w14:paraId="3B87422C"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Month</w:t>
            </w:r>
          </w:p>
        </w:tc>
        <w:tc>
          <w:tcPr>
            <w:tcW w:w="1740" w:type="dxa"/>
            <w:shd w:val="clear" w:color="auto" w:fill="auto"/>
            <w:tcMar>
              <w:top w:w="100" w:type="dxa"/>
              <w:left w:w="100" w:type="dxa"/>
              <w:bottom w:w="100" w:type="dxa"/>
              <w:right w:w="100" w:type="dxa"/>
            </w:tcMar>
          </w:tcPr>
          <w:p w14:paraId="4F025472"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12</w:t>
            </w:r>
          </w:p>
        </w:tc>
        <w:tc>
          <w:tcPr>
            <w:tcW w:w="1740" w:type="dxa"/>
            <w:shd w:val="clear" w:color="auto" w:fill="auto"/>
            <w:tcMar>
              <w:top w:w="100" w:type="dxa"/>
              <w:left w:w="100" w:type="dxa"/>
              <w:bottom w:w="100" w:type="dxa"/>
              <w:right w:w="100" w:type="dxa"/>
            </w:tcMar>
          </w:tcPr>
          <w:p w14:paraId="276E77A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7.62</w:t>
            </w:r>
          </w:p>
        </w:tc>
        <w:tc>
          <w:tcPr>
            <w:tcW w:w="1665" w:type="dxa"/>
            <w:shd w:val="clear" w:color="auto" w:fill="auto"/>
            <w:tcMar>
              <w:top w:w="100" w:type="dxa"/>
              <w:left w:w="100" w:type="dxa"/>
              <w:bottom w:w="100" w:type="dxa"/>
              <w:right w:w="100" w:type="dxa"/>
            </w:tcMar>
          </w:tcPr>
          <w:p w14:paraId="53F1EEA7"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86.88</w:t>
            </w:r>
          </w:p>
        </w:tc>
      </w:tr>
      <w:tr w:rsidR="006A261E" w14:paraId="01AD8B35" w14:textId="77777777">
        <w:tc>
          <w:tcPr>
            <w:tcW w:w="1740" w:type="dxa"/>
            <w:shd w:val="clear" w:color="auto" w:fill="auto"/>
            <w:tcMar>
              <w:top w:w="100" w:type="dxa"/>
              <w:left w:w="100" w:type="dxa"/>
              <w:bottom w:w="100" w:type="dxa"/>
              <w:right w:w="100" w:type="dxa"/>
            </w:tcMar>
          </w:tcPr>
          <w:p w14:paraId="3289BFD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Semi monthly</w:t>
            </w:r>
          </w:p>
        </w:tc>
        <w:tc>
          <w:tcPr>
            <w:tcW w:w="1740" w:type="dxa"/>
            <w:shd w:val="clear" w:color="auto" w:fill="auto"/>
            <w:tcMar>
              <w:top w:w="100" w:type="dxa"/>
              <w:left w:w="100" w:type="dxa"/>
              <w:bottom w:w="100" w:type="dxa"/>
              <w:right w:w="100" w:type="dxa"/>
            </w:tcMar>
          </w:tcPr>
          <w:p w14:paraId="6991308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24</w:t>
            </w:r>
          </w:p>
        </w:tc>
        <w:tc>
          <w:tcPr>
            <w:tcW w:w="1740" w:type="dxa"/>
            <w:shd w:val="clear" w:color="auto" w:fill="auto"/>
            <w:tcMar>
              <w:top w:w="100" w:type="dxa"/>
              <w:left w:w="100" w:type="dxa"/>
              <w:bottom w:w="100" w:type="dxa"/>
              <w:right w:w="100" w:type="dxa"/>
            </w:tcMar>
          </w:tcPr>
          <w:p w14:paraId="01FFCFAA"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7.62</w:t>
            </w:r>
          </w:p>
        </w:tc>
        <w:tc>
          <w:tcPr>
            <w:tcW w:w="1665" w:type="dxa"/>
            <w:shd w:val="clear" w:color="auto" w:fill="auto"/>
            <w:tcMar>
              <w:top w:w="100" w:type="dxa"/>
              <w:left w:w="100" w:type="dxa"/>
              <w:bottom w:w="100" w:type="dxa"/>
              <w:right w:w="100" w:type="dxa"/>
            </w:tcMar>
          </w:tcPr>
          <w:p w14:paraId="4DCE62B5"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173.76</w:t>
            </w:r>
          </w:p>
        </w:tc>
      </w:tr>
      <w:tr w:rsidR="006A261E" w14:paraId="3F9D9FCF" w14:textId="77777777">
        <w:tc>
          <w:tcPr>
            <w:tcW w:w="1740" w:type="dxa"/>
            <w:shd w:val="clear" w:color="auto" w:fill="auto"/>
            <w:tcMar>
              <w:top w:w="100" w:type="dxa"/>
              <w:left w:w="100" w:type="dxa"/>
              <w:bottom w:w="100" w:type="dxa"/>
              <w:right w:w="100" w:type="dxa"/>
            </w:tcMar>
          </w:tcPr>
          <w:p w14:paraId="79C2256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Biweekly</w:t>
            </w:r>
          </w:p>
        </w:tc>
        <w:tc>
          <w:tcPr>
            <w:tcW w:w="1740" w:type="dxa"/>
            <w:shd w:val="clear" w:color="auto" w:fill="auto"/>
            <w:tcMar>
              <w:top w:w="100" w:type="dxa"/>
              <w:left w:w="100" w:type="dxa"/>
              <w:bottom w:w="100" w:type="dxa"/>
              <w:right w:w="100" w:type="dxa"/>
            </w:tcMar>
          </w:tcPr>
          <w:p w14:paraId="2820CBC4"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26</w:t>
            </w:r>
          </w:p>
        </w:tc>
        <w:tc>
          <w:tcPr>
            <w:tcW w:w="1740" w:type="dxa"/>
            <w:shd w:val="clear" w:color="auto" w:fill="auto"/>
            <w:tcMar>
              <w:top w:w="100" w:type="dxa"/>
              <w:left w:w="100" w:type="dxa"/>
              <w:bottom w:w="100" w:type="dxa"/>
              <w:right w:w="100" w:type="dxa"/>
            </w:tcMar>
          </w:tcPr>
          <w:p w14:paraId="0D35DA60"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7.62</w:t>
            </w:r>
          </w:p>
        </w:tc>
        <w:tc>
          <w:tcPr>
            <w:tcW w:w="1665" w:type="dxa"/>
            <w:shd w:val="clear" w:color="auto" w:fill="auto"/>
            <w:tcMar>
              <w:top w:w="100" w:type="dxa"/>
              <w:left w:w="100" w:type="dxa"/>
              <w:bottom w:w="100" w:type="dxa"/>
              <w:right w:w="100" w:type="dxa"/>
            </w:tcMar>
          </w:tcPr>
          <w:p w14:paraId="660742E1"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188.24</w:t>
            </w:r>
          </w:p>
        </w:tc>
      </w:tr>
      <w:tr w:rsidR="006A261E" w14:paraId="432F2D80" w14:textId="77777777">
        <w:tc>
          <w:tcPr>
            <w:tcW w:w="1740" w:type="dxa"/>
            <w:shd w:val="clear" w:color="auto" w:fill="auto"/>
            <w:tcMar>
              <w:top w:w="100" w:type="dxa"/>
              <w:left w:w="100" w:type="dxa"/>
              <w:bottom w:w="100" w:type="dxa"/>
              <w:right w:w="100" w:type="dxa"/>
            </w:tcMar>
          </w:tcPr>
          <w:p w14:paraId="1D089B8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Weekly</w:t>
            </w:r>
          </w:p>
        </w:tc>
        <w:tc>
          <w:tcPr>
            <w:tcW w:w="1740" w:type="dxa"/>
            <w:shd w:val="clear" w:color="auto" w:fill="auto"/>
            <w:tcMar>
              <w:top w:w="100" w:type="dxa"/>
              <w:left w:w="100" w:type="dxa"/>
              <w:bottom w:w="100" w:type="dxa"/>
              <w:right w:w="100" w:type="dxa"/>
            </w:tcMar>
          </w:tcPr>
          <w:p w14:paraId="6E43168E"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52</w:t>
            </w:r>
          </w:p>
        </w:tc>
        <w:tc>
          <w:tcPr>
            <w:tcW w:w="1740" w:type="dxa"/>
            <w:shd w:val="clear" w:color="auto" w:fill="auto"/>
            <w:tcMar>
              <w:top w:w="100" w:type="dxa"/>
              <w:left w:w="100" w:type="dxa"/>
              <w:bottom w:w="100" w:type="dxa"/>
              <w:right w:w="100" w:type="dxa"/>
            </w:tcMar>
          </w:tcPr>
          <w:p w14:paraId="1EC52C3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7.62</w:t>
            </w:r>
          </w:p>
        </w:tc>
        <w:tc>
          <w:tcPr>
            <w:tcW w:w="1665" w:type="dxa"/>
            <w:shd w:val="clear" w:color="auto" w:fill="auto"/>
            <w:tcMar>
              <w:top w:w="100" w:type="dxa"/>
              <w:left w:w="100" w:type="dxa"/>
              <w:bottom w:w="100" w:type="dxa"/>
              <w:right w:w="100" w:type="dxa"/>
            </w:tcMar>
          </w:tcPr>
          <w:p w14:paraId="0D3EF44F"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376.48</w:t>
            </w:r>
          </w:p>
        </w:tc>
      </w:tr>
    </w:tbl>
    <w:p w14:paraId="03F16730" w14:textId="77777777" w:rsidR="006A261E" w:rsidRDefault="006A261E">
      <w:pPr>
        <w:spacing w:after="0"/>
        <w:ind w:left="1080"/>
        <w:rPr>
          <w:rFonts w:ascii="Arial" w:eastAsia="Arial" w:hAnsi="Arial" w:cs="Arial"/>
          <w:color w:val="222222"/>
        </w:rPr>
      </w:pPr>
    </w:p>
    <w:p w14:paraId="5F104E30"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 If the total hours per resident day </w:t>
      </w:r>
      <w:r>
        <w:rPr>
          <w:rFonts w:ascii="Arial" w:eastAsia="Arial" w:hAnsi="Arial" w:cs="Arial"/>
          <w:color w:val="222222"/>
        </w:rPr>
        <w:t>is above the maximum number</w:t>
      </w:r>
      <w:r>
        <w:rPr>
          <w:rFonts w:ascii="Arial" w:eastAsia="Arial" w:hAnsi="Arial" w:cs="Arial"/>
          <w:color w:val="222222"/>
        </w:rPr>
        <w:t xml:space="preserve"> of hours per resident day corresponding with its payroll period (from step 2fiii), exclude the facility. It likely did not report for the year, but we don’t know why its staff hours are too high.</w:t>
      </w:r>
    </w:p>
    <w:p w14:paraId="0F9478A8"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If the total hours per resident day </w:t>
      </w:r>
      <w:r>
        <w:rPr>
          <w:rFonts w:ascii="Arial" w:eastAsia="Arial" w:hAnsi="Arial" w:cs="Arial"/>
          <w:color w:val="222222"/>
        </w:rPr>
        <w:t xml:space="preserve">is lower than the maximum </w:t>
      </w:r>
      <w:r>
        <w:rPr>
          <w:rFonts w:ascii="Arial" w:eastAsia="Arial" w:hAnsi="Arial" w:cs="Arial"/>
          <w:color w:val="222222"/>
        </w:rPr>
        <w:t>hours per resident day corresponding with its payroll period (from step 2fiii), create a flag indicating that the AL may have reported yearly numbers.</w:t>
      </w:r>
    </w:p>
    <w:p w14:paraId="4DE58A1D" w14:textId="77777777" w:rsidR="006A261E" w:rsidRDefault="006A261E">
      <w:pPr>
        <w:spacing w:after="0"/>
        <w:ind w:left="360"/>
        <w:rPr>
          <w:rFonts w:ascii="Arial" w:eastAsia="Arial" w:hAnsi="Arial" w:cs="Arial"/>
          <w:color w:val="222222"/>
        </w:rPr>
      </w:pPr>
    </w:p>
    <w:p w14:paraId="79F06681" w14:textId="77777777" w:rsidR="006A261E" w:rsidRDefault="006A261E">
      <w:pPr>
        <w:spacing w:after="0"/>
        <w:ind w:left="1080"/>
        <w:rPr>
          <w:rFonts w:ascii="Arial" w:eastAsia="Arial" w:hAnsi="Arial" w:cs="Arial"/>
          <w:color w:val="222222"/>
        </w:rPr>
      </w:pPr>
    </w:p>
    <w:tbl>
      <w:tblPr>
        <w:tblStyle w:val="a7"/>
        <w:tblW w:w="8280" w:type="dxa"/>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60"/>
        <w:gridCol w:w="2760"/>
        <w:gridCol w:w="2760"/>
      </w:tblGrid>
      <w:tr w:rsidR="006A261E" w14:paraId="5F87685E" w14:textId="77777777">
        <w:trPr>
          <w:trHeight w:val="1073"/>
        </w:trPr>
        <w:tc>
          <w:tcPr>
            <w:tcW w:w="2760" w:type="dxa"/>
            <w:shd w:val="clear" w:color="auto" w:fill="auto"/>
            <w:tcMar>
              <w:top w:w="100" w:type="dxa"/>
              <w:left w:w="100" w:type="dxa"/>
              <w:bottom w:w="100" w:type="dxa"/>
              <w:right w:w="100" w:type="dxa"/>
            </w:tcMar>
          </w:tcPr>
          <w:p w14:paraId="16995941"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Total staff hours per resident day reported in staffing module</w:t>
            </w:r>
          </w:p>
        </w:tc>
        <w:tc>
          <w:tcPr>
            <w:tcW w:w="2760" w:type="dxa"/>
            <w:shd w:val="clear" w:color="auto" w:fill="auto"/>
            <w:tcMar>
              <w:top w:w="100" w:type="dxa"/>
              <w:left w:w="100" w:type="dxa"/>
              <w:bottom w:w="100" w:type="dxa"/>
              <w:right w:w="100" w:type="dxa"/>
            </w:tcMar>
          </w:tcPr>
          <w:p w14:paraId="1401C5CB"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 xml:space="preserve">Maximum staffing </w:t>
            </w:r>
            <w:proofErr w:type="gramStart"/>
            <w:r>
              <w:rPr>
                <w:rFonts w:ascii="Arial" w:eastAsia="Arial" w:hAnsi="Arial" w:cs="Arial"/>
                <w:color w:val="222222"/>
              </w:rPr>
              <w:t>value  potentially</w:t>
            </w:r>
            <w:proofErr w:type="gramEnd"/>
            <w:r>
              <w:rPr>
                <w:rFonts w:ascii="Arial" w:eastAsia="Arial" w:hAnsi="Arial" w:cs="Arial"/>
                <w:color w:val="222222"/>
              </w:rPr>
              <w:t xml:space="preserve"> reporting for year</w:t>
            </w:r>
          </w:p>
        </w:tc>
        <w:tc>
          <w:tcPr>
            <w:tcW w:w="2760" w:type="dxa"/>
            <w:shd w:val="clear" w:color="auto" w:fill="auto"/>
            <w:tcMar>
              <w:top w:w="100" w:type="dxa"/>
              <w:left w:w="100" w:type="dxa"/>
              <w:bottom w:w="100" w:type="dxa"/>
              <w:right w:w="100" w:type="dxa"/>
            </w:tcMar>
          </w:tcPr>
          <w:p w14:paraId="230DB28C"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Reported for year: yes/no</w:t>
            </w:r>
          </w:p>
        </w:tc>
      </w:tr>
      <w:tr w:rsidR="006A261E" w14:paraId="62920FDF" w14:textId="77777777">
        <w:tc>
          <w:tcPr>
            <w:tcW w:w="2760" w:type="dxa"/>
            <w:shd w:val="clear" w:color="auto" w:fill="auto"/>
            <w:tcMar>
              <w:top w:w="100" w:type="dxa"/>
              <w:left w:w="100" w:type="dxa"/>
              <w:bottom w:w="100" w:type="dxa"/>
              <w:right w:w="100" w:type="dxa"/>
            </w:tcMar>
          </w:tcPr>
          <w:p w14:paraId="68BBD13C"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45.891</w:t>
            </w:r>
          </w:p>
        </w:tc>
        <w:tc>
          <w:tcPr>
            <w:tcW w:w="2760" w:type="dxa"/>
            <w:shd w:val="clear" w:color="auto" w:fill="auto"/>
            <w:tcMar>
              <w:top w:w="100" w:type="dxa"/>
              <w:left w:w="100" w:type="dxa"/>
              <w:bottom w:w="100" w:type="dxa"/>
              <w:right w:w="100" w:type="dxa"/>
            </w:tcMar>
          </w:tcPr>
          <w:p w14:paraId="0856EB01"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173.76</w:t>
            </w:r>
          </w:p>
        </w:tc>
        <w:tc>
          <w:tcPr>
            <w:tcW w:w="2760" w:type="dxa"/>
            <w:tcMar>
              <w:top w:w="100" w:type="dxa"/>
              <w:left w:w="100" w:type="dxa"/>
              <w:bottom w:w="100" w:type="dxa"/>
              <w:right w:w="100" w:type="dxa"/>
            </w:tcMar>
          </w:tcPr>
          <w:p w14:paraId="098230A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yes</w:t>
            </w:r>
          </w:p>
        </w:tc>
      </w:tr>
      <w:tr w:rsidR="006A261E" w14:paraId="323FFB3F" w14:textId="77777777">
        <w:tc>
          <w:tcPr>
            <w:tcW w:w="2760" w:type="dxa"/>
            <w:shd w:val="clear" w:color="auto" w:fill="auto"/>
            <w:tcMar>
              <w:top w:w="100" w:type="dxa"/>
              <w:left w:w="100" w:type="dxa"/>
              <w:bottom w:w="100" w:type="dxa"/>
              <w:right w:w="100" w:type="dxa"/>
            </w:tcMar>
          </w:tcPr>
          <w:p w14:paraId="1877D29A"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130.902</w:t>
            </w:r>
          </w:p>
        </w:tc>
        <w:tc>
          <w:tcPr>
            <w:tcW w:w="2760" w:type="dxa"/>
            <w:shd w:val="clear" w:color="auto" w:fill="auto"/>
            <w:tcMar>
              <w:top w:w="100" w:type="dxa"/>
              <w:left w:w="100" w:type="dxa"/>
              <w:bottom w:w="100" w:type="dxa"/>
              <w:right w:w="100" w:type="dxa"/>
            </w:tcMar>
          </w:tcPr>
          <w:p w14:paraId="47D729B3"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188.24</w:t>
            </w:r>
          </w:p>
        </w:tc>
        <w:tc>
          <w:tcPr>
            <w:tcW w:w="2760" w:type="dxa"/>
            <w:tcMar>
              <w:top w:w="100" w:type="dxa"/>
              <w:left w:w="100" w:type="dxa"/>
              <w:bottom w:w="100" w:type="dxa"/>
              <w:right w:w="100" w:type="dxa"/>
            </w:tcMar>
          </w:tcPr>
          <w:p w14:paraId="24678402"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yes</w:t>
            </w:r>
          </w:p>
        </w:tc>
      </w:tr>
      <w:tr w:rsidR="006A261E" w14:paraId="515AADD6" w14:textId="77777777">
        <w:tc>
          <w:tcPr>
            <w:tcW w:w="2760" w:type="dxa"/>
            <w:shd w:val="clear" w:color="auto" w:fill="auto"/>
            <w:tcMar>
              <w:top w:w="100" w:type="dxa"/>
              <w:left w:w="100" w:type="dxa"/>
              <w:bottom w:w="100" w:type="dxa"/>
              <w:right w:w="100" w:type="dxa"/>
            </w:tcMar>
          </w:tcPr>
          <w:p w14:paraId="5B96746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99.013</w:t>
            </w:r>
          </w:p>
        </w:tc>
        <w:tc>
          <w:tcPr>
            <w:tcW w:w="2760" w:type="dxa"/>
            <w:shd w:val="clear" w:color="auto" w:fill="auto"/>
            <w:tcMar>
              <w:top w:w="100" w:type="dxa"/>
              <w:left w:w="100" w:type="dxa"/>
              <w:bottom w:w="100" w:type="dxa"/>
              <w:right w:w="100" w:type="dxa"/>
            </w:tcMar>
          </w:tcPr>
          <w:p w14:paraId="35FC8F6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188.24</w:t>
            </w:r>
          </w:p>
        </w:tc>
        <w:tc>
          <w:tcPr>
            <w:tcW w:w="2760" w:type="dxa"/>
            <w:shd w:val="clear" w:color="auto" w:fill="auto"/>
            <w:tcMar>
              <w:top w:w="100" w:type="dxa"/>
              <w:left w:w="100" w:type="dxa"/>
              <w:bottom w:w="100" w:type="dxa"/>
              <w:right w:w="100" w:type="dxa"/>
            </w:tcMar>
          </w:tcPr>
          <w:p w14:paraId="351713A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yes</w:t>
            </w:r>
          </w:p>
        </w:tc>
      </w:tr>
    </w:tbl>
    <w:p w14:paraId="1ECBCA5A" w14:textId="77777777" w:rsidR="006A261E" w:rsidRDefault="006A261E">
      <w:pPr>
        <w:spacing w:after="0"/>
        <w:ind w:left="1080"/>
        <w:rPr>
          <w:rFonts w:ascii="Arial" w:eastAsia="Arial" w:hAnsi="Arial" w:cs="Arial"/>
          <w:color w:val="222222"/>
        </w:rPr>
      </w:pPr>
    </w:p>
    <w:p w14:paraId="0B1EAFD9" w14:textId="77777777" w:rsidR="006A261E" w:rsidRDefault="00935D1B">
      <w:pPr>
        <w:numPr>
          <w:ilvl w:val="1"/>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For facilities flagged as reporting for the year, correct the hours per resident day variables for yearly reporting by dividing the original staffing values by 365.</w:t>
      </w:r>
    </w:p>
    <w:p w14:paraId="334CC072" w14:textId="77777777" w:rsidR="006A261E" w:rsidRDefault="00935D1B">
      <w:pPr>
        <w:numPr>
          <w:ilvl w:val="2"/>
          <w:numId w:val="1"/>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lastRenderedPageBreak/>
        <w:t>If the aide staffing values per resident day are still too high after dividing the total staff number by 365 (i.e., aide hours &gt;=5.25 hours per resident day or total staff per resident day &gt;=12), exclude the facility. Take note of how many are excluded.</w:t>
      </w:r>
    </w:p>
    <w:p w14:paraId="227F9A20" w14:textId="77777777" w:rsidR="006A261E" w:rsidRDefault="00935D1B">
      <w:pPr>
        <w:numPr>
          <w:ilvl w:val="2"/>
          <w:numId w:val="1"/>
        </w:numPr>
        <w:pBdr>
          <w:top w:val="nil"/>
          <w:left w:val="nil"/>
          <w:bottom w:val="nil"/>
          <w:right w:val="nil"/>
          <w:between w:val="nil"/>
        </w:pBdr>
        <w:rPr>
          <w:rFonts w:ascii="Arial" w:eastAsia="Arial" w:hAnsi="Arial" w:cs="Arial"/>
          <w:color w:val="222222"/>
        </w:rPr>
      </w:pPr>
      <w:r>
        <w:rPr>
          <w:rFonts w:ascii="Arial" w:eastAsia="Arial" w:hAnsi="Arial" w:cs="Arial"/>
          <w:color w:val="222222"/>
        </w:rPr>
        <w:t>If the aide values per resident day are &lt;5.25 and the total staff hours per resident day are &lt;12 after dividing the original total staffing value by 365, use the corrected values in the cleaned dataset.</w:t>
      </w:r>
    </w:p>
    <w:p w14:paraId="144886C2" w14:textId="77777777" w:rsidR="006A261E" w:rsidRDefault="006A261E">
      <w:pPr>
        <w:spacing w:after="0"/>
        <w:rPr>
          <w:rFonts w:ascii="Arial" w:eastAsia="Arial" w:hAnsi="Arial" w:cs="Arial"/>
          <w:color w:val="222222"/>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A261E" w14:paraId="70CD3C90" w14:textId="77777777">
        <w:tc>
          <w:tcPr>
            <w:tcW w:w="3120" w:type="dxa"/>
            <w:shd w:val="clear" w:color="auto" w:fill="auto"/>
            <w:tcMar>
              <w:top w:w="100" w:type="dxa"/>
              <w:left w:w="100" w:type="dxa"/>
              <w:bottom w:w="100" w:type="dxa"/>
              <w:right w:w="100" w:type="dxa"/>
            </w:tcMar>
          </w:tcPr>
          <w:p w14:paraId="3D667EBE"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Original total staff hour per resident day value</w:t>
            </w:r>
          </w:p>
        </w:tc>
        <w:tc>
          <w:tcPr>
            <w:tcW w:w="3120" w:type="dxa"/>
            <w:shd w:val="clear" w:color="auto" w:fill="auto"/>
            <w:tcMar>
              <w:top w:w="100" w:type="dxa"/>
              <w:left w:w="100" w:type="dxa"/>
              <w:bottom w:w="100" w:type="dxa"/>
              <w:right w:w="100" w:type="dxa"/>
            </w:tcMar>
          </w:tcPr>
          <w:p w14:paraId="201916B1"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 xml:space="preserve">Staff hour per resident day value after correcting for yearly reporting </w:t>
            </w:r>
          </w:p>
        </w:tc>
        <w:tc>
          <w:tcPr>
            <w:tcW w:w="3120" w:type="dxa"/>
            <w:shd w:val="clear" w:color="auto" w:fill="auto"/>
            <w:tcMar>
              <w:top w:w="100" w:type="dxa"/>
              <w:left w:w="100" w:type="dxa"/>
              <w:bottom w:w="100" w:type="dxa"/>
              <w:right w:w="100" w:type="dxa"/>
            </w:tcMar>
          </w:tcPr>
          <w:p w14:paraId="7D884BB4"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Keep corrected value or exclude entirely from dataset</w:t>
            </w:r>
          </w:p>
        </w:tc>
      </w:tr>
      <w:tr w:rsidR="006A261E" w14:paraId="3637AB64" w14:textId="77777777">
        <w:tc>
          <w:tcPr>
            <w:tcW w:w="3120" w:type="dxa"/>
            <w:tcMar>
              <w:top w:w="100" w:type="dxa"/>
              <w:left w:w="100" w:type="dxa"/>
              <w:bottom w:w="100" w:type="dxa"/>
              <w:right w:w="100" w:type="dxa"/>
            </w:tcMar>
          </w:tcPr>
          <w:p w14:paraId="0C994A0A"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45.891</w:t>
            </w:r>
          </w:p>
        </w:tc>
        <w:tc>
          <w:tcPr>
            <w:tcW w:w="3120" w:type="dxa"/>
            <w:tcMar>
              <w:top w:w="100" w:type="dxa"/>
              <w:left w:w="100" w:type="dxa"/>
              <w:bottom w:w="100" w:type="dxa"/>
              <w:right w:w="100" w:type="dxa"/>
            </w:tcMar>
          </w:tcPr>
          <w:p w14:paraId="6FBA207F"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1.90685</w:t>
            </w:r>
          </w:p>
        </w:tc>
        <w:tc>
          <w:tcPr>
            <w:tcW w:w="3120" w:type="dxa"/>
            <w:shd w:val="clear" w:color="auto" w:fill="auto"/>
            <w:tcMar>
              <w:top w:w="100" w:type="dxa"/>
              <w:left w:w="100" w:type="dxa"/>
              <w:bottom w:w="100" w:type="dxa"/>
              <w:right w:w="100" w:type="dxa"/>
            </w:tcMar>
          </w:tcPr>
          <w:p w14:paraId="527D912F"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Keep</w:t>
            </w:r>
          </w:p>
        </w:tc>
      </w:tr>
      <w:tr w:rsidR="006A261E" w14:paraId="2F459E32" w14:textId="77777777">
        <w:tc>
          <w:tcPr>
            <w:tcW w:w="3120" w:type="dxa"/>
            <w:tcMar>
              <w:top w:w="100" w:type="dxa"/>
              <w:left w:w="100" w:type="dxa"/>
              <w:bottom w:w="100" w:type="dxa"/>
              <w:right w:w="100" w:type="dxa"/>
            </w:tcMar>
          </w:tcPr>
          <w:p w14:paraId="10B6E3B6"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40.903</w:t>
            </w:r>
          </w:p>
        </w:tc>
        <w:tc>
          <w:tcPr>
            <w:tcW w:w="3120" w:type="dxa"/>
            <w:tcMar>
              <w:top w:w="100" w:type="dxa"/>
              <w:left w:w="100" w:type="dxa"/>
              <w:bottom w:w="100" w:type="dxa"/>
              <w:right w:w="100" w:type="dxa"/>
            </w:tcMar>
          </w:tcPr>
          <w:p w14:paraId="534A826D"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1.56879</w:t>
            </w:r>
          </w:p>
        </w:tc>
        <w:tc>
          <w:tcPr>
            <w:tcW w:w="3120" w:type="dxa"/>
            <w:shd w:val="clear" w:color="auto" w:fill="auto"/>
            <w:tcMar>
              <w:top w:w="100" w:type="dxa"/>
              <w:left w:w="100" w:type="dxa"/>
              <w:bottom w:w="100" w:type="dxa"/>
              <w:right w:w="100" w:type="dxa"/>
            </w:tcMar>
          </w:tcPr>
          <w:p w14:paraId="6C7A6A1C"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Keep</w:t>
            </w:r>
          </w:p>
        </w:tc>
      </w:tr>
      <w:tr w:rsidR="006A261E" w14:paraId="59227C0D" w14:textId="77777777">
        <w:tc>
          <w:tcPr>
            <w:tcW w:w="3120" w:type="dxa"/>
            <w:shd w:val="clear" w:color="auto" w:fill="auto"/>
            <w:tcMar>
              <w:top w:w="100" w:type="dxa"/>
              <w:left w:w="100" w:type="dxa"/>
              <w:bottom w:w="100" w:type="dxa"/>
              <w:right w:w="100" w:type="dxa"/>
            </w:tcMar>
          </w:tcPr>
          <w:p w14:paraId="1CD2BEE8"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99.0130</w:t>
            </w:r>
          </w:p>
        </w:tc>
        <w:tc>
          <w:tcPr>
            <w:tcW w:w="3120" w:type="dxa"/>
            <w:shd w:val="clear" w:color="auto" w:fill="auto"/>
            <w:tcMar>
              <w:top w:w="100" w:type="dxa"/>
              <w:left w:w="100" w:type="dxa"/>
              <w:bottom w:w="100" w:type="dxa"/>
              <w:right w:w="100" w:type="dxa"/>
            </w:tcMar>
          </w:tcPr>
          <w:p w14:paraId="5BF27C7B"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1.96254</w:t>
            </w:r>
          </w:p>
        </w:tc>
        <w:tc>
          <w:tcPr>
            <w:tcW w:w="3120" w:type="dxa"/>
            <w:shd w:val="clear" w:color="auto" w:fill="auto"/>
            <w:tcMar>
              <w:top w:w="100" w:type="dxa"/>
              <w:left w:w="100" w:type="dxa"/>
              <w:bottom w:w="100" w:type="dxa"/>
              <w:right w:w="100" w:type="dxa"/>
            </w:tcMar>
          </w:tcPr>
          <w:p w14:paraId="009E6F5A" w14:textId="77777777" w:rsidR="006A261E" w:rsidRDefault="00935D1B">
            <w:pPr>
              <w:widowControl w:val="0"/>
              <w:spacing w:after="0" w:line="240" w:lineRule="auto"/>
              <w:rPr>
                <w:rFonts w:ascii="Arial" w:eastAsia="Arial" w:hAnsi="Arial" w:cs="Arial"/>
                <w:color w:val="222222"/>
              </w:rPr>
            </w:pPr>
            <w:r>
              <w:rPr>
                <w:rFonts w:ascii="Arial" w:eastAsia="Arial" w:hAnsi="Arial" w:cs="Arial"/>
                <w:color w:val="222222"/>
              </w:rPr>
              <w:t>Keep</w:t>
            </w:r>
          </w:p>
        </w:tc>
      </w:tr>
    </w:tbl>
    <w:p w14:paraId="1AFDECF2" w14:textId="77777777" w:rsidR="006A261E" w:rsidRDefault="00935D1B">
      <w:pPr>
        <w:spacing w:after="0"/>
        <w:rPr>
          <w:rFonts w:ascii="Arial" w:eastAsia="Arial" w:hAnsi="Arial" w:cs="Arial"/>
          <w:color w:val="222222"/>
        </w:rPr>
      </w:pPr>
      <w:r>
        <w:rPr>
          <w:rFonts w:ascii="Arial" w:eastAsia="Arial" w:hAnsi="Arial" w:cs="Arial"/>
          <w:color w:val="222222"/>
        </w:rPr>
        <w:t>Note: In this example, there were no values that were still too high after correction</w:t>
      </w:r>
    </w:p>
    <w:sectPr w:rsidR="006A261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AD759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58318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61E"/>
    <w:rsid w:val="006A261E"/>
    <w:rsid w:val="00935D1B"/>
    <w:rsid w:val="00F80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3E14E"/>
  <w15:docId w15:val="{0189DABB-A451-4DB2-A9E2-59DF741AA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AE4C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AE4CE8"/>
  </w:style>
  <w:style w:type="paragraph" w:styleId="ListParagraph">
    <w:name w:val="List Paragraph"/>
    <w:basedOn w:val="Normal"/>
    <w:uiPriority w:val="34"/>
    <w:qFormat/>
    <w:rsid w:val="0088003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y5RfXNQCZK8VMOPVLTRaqlRVVQ==">AMUW2mXD0pXNrzFU8yO1OF/8OQa5DhqNaOGs0CpHjUuj+Zzb899srM1AsET9u0KXLjdLNyriaU7oA8SONweOjpJW3yF+zeQ8Cz+PrZ2ECjQBzuY/VzJBLp8=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2151</Words>
  <Characters>12261</Characters>
  <Application>Microsoft Office Word</Application>
  <DocSecurity>0</DocSecurity>
  <Lines>102</Lines>
  <Paragraphs>28</Paragraphs>
  <ScaleCrop>false</ScaleCrop>
  <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Cassandra Hua</dc:creator>
  <cp:lastModifiedBy>Hua, Cassandra L</cp:lastModifiedBy>
  <cp:revision>2</cp:revision>
  <dcterms:created xsi:type="dcterms:W3CDTF">2024-05-10T17:24:00Z</dcterms:created>
  <dcterms:modified xsi:type="dcterms:W3CDTF">2024-05-10T17:24:00Z</dcterms:modified>
</cp:coreProperties>
</file>