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3A7B6" w14:textId="77777777" w:rsidR="000E436A" w:rsidRPr="000E436A" w:rsidRDefault="000E436A" w:rsidP="000E436A">
      <w:pPr>
        <w:spacing w:before="161" w:after="270" w:line="540" w:lineRule="atLeast"/>
        <w:outlineLvl w:val="0"/>
        <w:rPr>
          <w:rFonts w:ascii="Verdana" w:eastAsia="Times New Roman" w:hAnsi="Verdana" w:cs="Times New Roman"/>
          <w:caps/>
          <w:color w:val="015581"/>
          <w:spacing w:val="24"/>
          <w:kern w:val="36"/>
          <w:sz w:val="45"/>
          <w:szCs w:val="45"/>
          <w14:ligatures w14:val="none"/>
        </w:rPr>
      </w:pPr>
      <w:r w:rsidRPr="000E436A">
        <w:rPr>
          <w:rFonts w:ascii="Verdana" w:eastAsia="Times New Roman" w:hAnsi="Verdana" w:cs="Times New Roman"/>
          <w:caps/>
          <w:color w:val="015581"/>
          <w:spacing w:val="24"/>
          <w:kern w:val="36"/>
          <w:sz w:val="45"/>
          <w:szCs w:val="45"/>
          <w14:ligatures w14:val="none"/>
        </w:rPr>
        <w:t>LANGUAGE OF SLAVERY (2019)</w:t>
      </w:r>
    </w:p>
    <w:p w14:paraId="3755D00D"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color w:val="333333"/>
          <w:kern w:val="0"/>
          <w14:ligatures w14:val="none"/>
        </w:rPr>
        <w:t>In 2019, </w:t>
      </w:r>
      <w:r w:rsidRPr="000E436A">
        <w:rPr>
          <w:rFonts w:ascii="Open Sans" w:eastAsia="Times New Roman" w:hAnsi="Open Sans" w:cs="Open Sans"/>
          <w:i/>
          <w:iCs/>
          <w:color w:val="333333"/>
          <w:kern w:val="0"/>
          <w14:ligatures w14:val="none"/>
        </w:rPr>
        <w:t>Contemporary Monuments to the Slave Past </w:t>
      </w:r>
      <w:r w:rsidRPr="000E436A">
        <w:rPr>
          <w:rFonts w:ascii="Open Sans" w:eastAsia="Times New Roman" w:hAnsi="Open Sans" w:cs="Open Sans"/>
          <w:color w:val="333333"/>
          <w:kern w:val="0"/>
          <w14:ligatures w14:val="none"/>
        </w:rPr>
        <w:t>adopted the language of slavery from the National Underground Railroad Network to Freedom-National Park Service website. Since we originally published the language of slavery on CMSP, the National Underground Railroad Network to Freedom has continued to revise and rethink its usage of language around enslavement and the enslaved on its website (https://www.nps.gov/subjects/undergroundrailroad/language-of-slavery.htm). At </w:t>
      </w:r>
      <w:r w:rsidRPr="000E436A">
        <w:rPr>
          <w:rFonts w:ascii="Open Sans" w:eastAsia="Times New Roman" w:hAnsi="Open Sans" w:cs="Open Sans"/>
          <w:i/>
          <w:iCs/>
          <w:color w:val="333333"/>
          <w:kern w:val="0"/>
          <w14:ligatures w14:val="none"/>
        </w:rPr>
        <w:t>Contemporary Monuments to the Slave Past</w:t>
      </w:r>
      <w:r w:rsidRPr="000E436A">
        <w:rPr>
          <w:rFonts w:ascii="Open Sans" w:eastAsia="Times New Roman" w:hAnsi="Open Sans" w:cs="Open Sans"/>
          <w:color w:val="333333"/>
          <w:kern w:val="0"/>
          <w14:ligatures w14:val="none"/>
        </w:rPr>
        <w:t>, we are thinking hard about the historical language of slavery and its use on this site.</w:t>
      </w:r>
    </w:p>
    <w:p w14:paraId="721B61E1" w14:textId="77777777" w:rsidR="000E436A" w:rsidRPr="000E436A" w:rsidRDefault="000E436A" w:rsidP="000E436A">
      <w:pPr>
        <w:spacing w:before="100" w:beforeAutospacing="1" w:after="270" w:line="540" w:lineRule="atLeast"/>
        <w:outlineLvl w:val="1"/>
        <w:rPr>
          <w:rFonts w:ascii="Verdana" w:eastAsia="Times New Roman" w:hAnsi="Verdana" w:cs="Times New Roman"/>
          <w:color w:val="015581"/>
          <w:kern w:val="0"/>
          <w:sz w:val="36"/>
          <w:szCs w:val="36"/>
          <w14:ligatures w14:val="none"/>
        </w:rPr>
      </w:pPr>
      <w:r w:rsidRPr="000E436A">
        <w:rPr>
          <w:rFonts w:ascii="Verdana" w:eastAsia="Times New Roman" w:hAnsi="Verdana" w:cs="Times New Roman"/>
          <w:color w:val="015581"/>
          <w:kern w:val="0"/>
          <w:sz w:val="36"/>
          <w:szCs w:val="36"/>
          <w14:ligatures w14:val="none"/>
        </w:rPr>
        <w:t>Terms and Definitions (2019)</w:t>
      </w:r>
    </w:p>
    <w:p w14:paraId="1F86E8CE"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Abolitionist</w:t>
      </w:r>
      <w:r w:rsidRPr="000E436A">
        <w:rPr>
          <w:rFonts w:ascii="Open Sans" w:eastAsia="Times New Roman" w:hAnsi="Open Sans" w:cs="Open Sans"/>
          <w:b/>
          <w:bCs/>
          <w:color w:val="333333"/>
          <w:kern w:val="0"/>
          <w14:ligatures w14:val="none"/>
        </w:rPr>
        <w:br/>
      </w:r>
      <w:r w:rsidRPr="000E436A">
        <w:rPr>
          <w:rFonts w:ascii="Open Sans" w:eastAsia="Times New Roman" w:hAnsi="Open Sans" w:cs="Open Sans"/>
          <w:color w:val="333333"/>
          <w:kern w:val="0"/>
          <w14:ligatures w14:val="none"/>
        </w:rPr>
        <w:t>An abolitionist takes a political position and is politically active. The abolitionist may not act on his/her antislavery principles by helping individuals to escape from slavery.</w:t>
      </w:r>
    </w:p>
    <w:p w14:paraId="159DE840"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Antislavery Activist</w:t>
      </w:r>
      <w:r w:rsidRPr="000E436A">
        <w:rPr>
          <w:rFonts w:ascii="Open Sans" w:eastAsia="Times New Roman" w:hAnsi="Open Sans" w:cs="Open Sans"/>
          <w:b/>
          <w:bCs/>
          <w:color w:val="333333"/>
          <w:kern w:val="0"/>
          <w14:ligatures w14:val="none"/>
        </w:rPr>
        <w:br/>
      </w:r>
      <w:r w:rsidRPr="000E436A">
        <w:rPr>
          <w:rFonts w:ascii="Open Sans" w:eastAsia="Times New Roman" w:hAnsi="Open Sans" w:cs="Open Sans"/>
          <w:color w:val="333333"/>
          <w:kern w:val="0"/>
          <w14:ligatures w14:val="none"/>
        </w:rPr>
        <w:t>A person morally or politically opposed to slavery. This person might, on occasion, help a freedom seeker. The activist might be a southerner and could be the spouse or child of a slaveholder. The activist might come from any ethnic, political, or religious group.</w:t>
      </w:r>
    </w:p>
    <w:p w14:paraId="65E3A8AE"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Bondsman</w:t>
      </w:r>
      <w:r w:rsidRPr="000E436A">
        <w:rPr>
          <w:rFonts w:ascii="Open Sans" w:eastAsia="Times New Roman" w:hAnsi="Open Sans" w:cs="Open Sans"/>
          <w:b/>
          <w:bCs/>
          <w:color w:val="333333"/>
          <w:kern w:val="0"/>
          <w14:ligatures w14:val="none"/>
        </w:rPr>
        <w:br/>
      </w:r>
      <w:r w:rsidRPr="000E436A">
        <w:rPr>
          <w:rFonts w:ascii="Open Sans" w:eastAsia="Times New Roman" w:hAnsi="Open Sans" w:cs="Open Sans"/>
          <w:color w:val="333333"/>
          <w:kern w:val="0"/>
          <w14:ligatures w14:val="none"/>
        </w:rPr>
        <w:t>This is an alternate term for enslaved African Americans. It is preferable to “slave” because “bondsman” suggests a condition imposed by law.</w:t>
      </w:r>
    </w:p>
    <w:p w14:paraId="69CAF559"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Chattel</w:t>
      </w:r>
      <w:r w:rsidRPr="000E436A">
        <w:rPr>
          <w:rFonts w:ascii="Open Sans" w:eastAsia="Times New Roman" w:hAnsi="Open Sans" w:cs="Open Sans"/>
          <w:b/>
          <w:bCs/>
          <w:color w:val="333333"/>
          <w:kern w:val="0"/>
          <w14:ligatures w14:val="none"/>
        </w:rPr>
        <w:br/>
      </w:r>
      <w:r w:rsidRPr="000E436A">
        <w:rPr>
          <w:rFonts w:ascii="Open Sans" w:eastAsia="Times New Roman" w:hAnsi="Open Sans" w:cs="Open Sans"/>
          <w:color w:val="333333"/>
          <w:kern w:val="0"/>
          <w14:ligatures w14:val="none"/>
        </w:rPr>
        <w:t>The term chattel equates humans with livestock or furniture or other tangible, portable personal property. “Chattel” could be left in a will or sold or transferred without permission of the enslaved person.</w:t>
      </w:r>
    </w:p>
    <w:p w14:paraId="2A3344E1"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Conductor</w:t>
      </w:r>
      <w:r w:rsidRPr="000E436A">
        <w:rPr>
          <w:rFonts w:ascii="Open Sans" w:eastAsia="Times New Roman" w:hAnsi="Open Sans" w:cs="Open Sans"/>
          <w:color w:val="333333"/>
          <w:kern w:val="0"/>
          <w14:ligatures w14:val="none"/>
        </w:rPr>
        <w:br/>
        <w:t>A “conductor” was an individual who escorted or guided freedom seekers between stations or safe houses. A conductor need not have been a member of an organized section of the Underground Railroad, only someone who provided an element of guidance to the freedom seeker.</w:t>
      </w:r>
    </w:p>
    <w:p w14:paraId="0BE634A6"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lastRenderedPageBreak/>
        <w:t>Emancipation</w:t>
      </w:r>
      <w:r w:rsidRPr="000E436A">
        <w:rPr>
          <w:rFonts w:ascii="Open Sans" w:eastAsia="Times New Roman" w:hAnsi="Open Sans" w:cs="Open Sans"/>
          <w:b/>
          <w:bCs/>
          <w:color w:val="333333"/>
          <w:kern w:val="0"/>
          <w14:ligatures w14:val="none"/>
        </w:rPr>
        <w:br/>
      </w:r>
      <w:r w:rsidRPr="000E436A">
        <w:rPr>
          <w:rFonts w:ascii="Open Sans" w:eastAsia="Times New Roman" w:hAnsi="Open Sans" w:cs="Open Sans"/>
          <w:color w:val="333333"/>
          <w:kern w:val="0"/>
          <w14:ligatures w14:val="none"/>
        </w:rPr>
        <w:t>“</w:t>
      </w:r>
      <w:r w:rsidRPr="000E436A">
        <w:rPr>
          <w:rFonts w:ascii="Open Sans" w:eastAsia="Times New Roman" w:hAnsi="Open Sans" w:cs="Open Sans"/>
          <w:i/>
          <w:iCs/>
          <w:color w:val="333333"/>
          <w:kern w:val="0"/>
          <w14:ligatures w14:val="none"/>
        </w:rPr>
        <w:t>O Freedom</w:t>
      </w:r>
      <w:r w:rsidRPr="000E436A">
        <w:rPr>
          <w:rFonts w:ascii="Open Sans" w:eastAsia="Times New Roman" w:hAnsi="Open Sans" w:cs="Open Sans"/>
          <w:color w:val="333333"/>
          <w:kern w:val="0"/>
          <w14:ligatures w14:val="none"/>
        </w:rPr>
        <w:t>.” This term is often used to refer to an individual or group freedom. For example, those enslaved in the District of Columbia were freed by an act of Congress in 1862, the Compensated Emancipation Act. The word is familiar because of the Emancipation Proclamation in January 1863 that freed African Americans enslaved in the Confederacy.</w:t>
      </w:r>
    </w:p>
    <w:p w14:paraId="197E6DAB"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Freedom seeker</w:t>
      </w:r>
      <w:r w:rsidRPr="000E436A">
        <w:rPr>
          <w:rFonts w:ascii="Open Sans" w:eastAsia="Times New Roman" w:hAnsi="Open Sans" w:cs="Open Sans"/>
          <w:b/>
          <w:bCs/>
          <w:color w:val="333333"/>
          <w:kern w:val="0"/>
          <w14:ligatures w14:val="none"/>
        </w:rPr>
        <w:br/>
      </w:r>
      <w:r w:rsidRPr="000E436A">
        <w:rPr>
          <w:rFonts w:ascii="Open Sans" w:eastAsia="Times New Roman" w:hAnsi="Open Sans" w:cs="Open Sans"/>
          <w:color w:val="333333"/>
          <w:kern w:val="0"/>
          <w14:ligatures w14:val="none"/>
        </w:rPr>
        <w:t>This term reflects the freedom of spirit by referring to escaping African Americans as “freedom seekers,” rather than runaways, fugitives or escapees. The labels “fugitive,” “runaway,” and “escapee” were constructs of the Southern slave-holding societal structure and patronizing abolitionists. These terms reflect how slave-holding society viewed African American efforts toward freedom and ultimately, takes away their agency. “Freedom seekers” demonstrates what was in the hearts of freedom-seeking African Americans who acted to make liberty a reality.</w:t>
      </w:r>
    </w:p>
    <w:p w14:paraId="2241F6CA"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Fugitive</w:t>
      </w:r>
      <w:r w:rsidRPr="000E436A">
        <w:rPr>
          <w:rFonts w:ascii="Open Sans" w:eastAsia="Times New Roman" w:hAnsi="Open Sans" w:cs="Open Sans"/>
          <w:color w:val="333333"/>
          <w:kern w:val="0"/>
          <w14:ligatures w14:val="none"/>
        </w:rPr>
        <w:br/>
        <w:t xml:space="preserve">A common term in the eighteenth and nineteenth centuries that is still used today to describe the freedom seeker. The term was attached to the various Fugitive Slave Laws (1793, </w:t>
      </w:r>
      <w:proofErr w:type="gramStart"/>
      <w:r w:rsidRPr="000E436A">
        <w:rPr>
          <w:rFonts w:ascii="Open Sans" w:eastAsia="Times New Roman" w:hAnsi="Open Sans" w:cs="Open Sans"/>
          <w:color w:val="333333"/>
          <w:kern w:val="0"/>
          <w14:ligatures w14:val="none"/>
        </w:rPr>
        <w:t>1850)passed</w:t>
      </w:r>
      <w:proofErr w:type="gramEnd"/>
      <w:r w:rsidRPr="000E436A">
        <w:rPr>
          <w:rFonts w:ascii="Open Sans" w:eastAsia="Times New Roman" w:hAnsi="Open Sans" w:cs="Open Sans"/>
          <w:color w:val="333333"/>
          <w:kern w:val="0"/>
          <w14:ligatures w14:val="none"/>
        </w:rPr>
        <w:t xml:space="preserve"> by the U.S. Congress, and suggests that the “fugitive” was a criminal to escape from bondage. The language employed was key in attempts to preserve the view that the law was on the side of the slaveholding society—which it was—while reinforcing the view that the “fugitive” was incapable of acting responsibly in a society governed by the rule of law.</w:t>
      </w:r>
    </w:p>
    <w:p w14:paraId="57A569AA"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Manumission</w:t>
      </w:r>
      <w:r w:rsidRPr="000E436A">
        <w:rPr>
          <w:rFonts w:ascii="Open Sans" w:eastAsia="Times New Roman" w:hAnsi="Open Sans" w:cs="Open Sans"/>
          <w:b/>
          <w:bCs/>
          <w:color w:val="333333"/>
          <w:kern w:val="0"/>
          <w14:ligatures w14:val="none"/>
        </w:rPr>
        <w:br/>
      </w:r>
      <w:r w:rsidRPr="000E436A">
        <w:rPr>
          <w:rFonts w:ascii="Open Sans" w:eastAsia="Times New Roman" w:hAnsi="Open Sans" w:cs="Open Sans"/>
          <w:color w:val="333333"/>
          <w:kern w:val="0"/>
          <w14:ligatures w14:val="none"/>
        </w:rPr>
        <w:t>The freeing of an individual or group of enslaved African Americans by will, purchase, legal petition, or legislation. Enslaved African Americans would save up from jobs for hire or sale of goods for their manumission. Slaveowners would free individuals as a favor or would pick favored people to free at the slaveholder's death. Enslaved people were willing to take the risk of going to court to seek their freedom. Some people distinguish “manumission” from “emancipation,” using “manumission” to refer to only one individual at a time.</w:t>
      </w:r>
    </w:p>
    <w:p w14:paraId="7FD38721"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Maroon</w:t>
      </w:r>
      <w:r w:rsidRPr="000E436A">
        <w:rPr>
          <w:rFonts w:ascii="Open Sans" w:eastAsia="Times New Roman" w:hAnsi="Open Sans" w:cs="Open Sans"/>
          <w:b/>
          <w:bCs/>
          <w:color w:val="333333"/>
          <w:kern w:val="0"/>
          <w14:ligatures w14:val="none"/>
        </w:rPr>
        <w:br/>
      </w:r>
      <w:r w:rsidRPr="000E436A">
        <w:rPr>
          <w:rFonts w:ascii="Open Sans" w:eastAsia="Times New Roman" w:hAnsi="Open Sans" w:cs="Open Sans"/>
          <w:color w:val="333333"/>
          <w:kern w:val="0"/>
          <w14:ligatures w14:val="none"/>
        </w:rPr>
        <w:t>A community or a member of the community of a small group of enslaved African Americans who escaped slavery and lived in a remote place (like a swamp or the mountains). These settlements often actively assisted freedom seekers. The Everglades and the Great Dismal Swamp were sites of maroon communities.</w:t>
      </w:r>
    </w:p>
    <w:p w14:paraId="70F3FE29"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lastRenderedPageBreak/>
        <w:t>Operative</w:t>
      </w:r>
      <w:r w:rsidRPr="000E436A">
        <w:rPr>
          <w:rFonts w:ascii="Open Sans" w:eastAsia="Times New Roman" w:hAnsi="Open Sans" w:cs="Open Sans"/>
          <w:b/>
          <w:bCs/>
          <w:color w:val="333333"/>
          <w:kern w:val="0"/>
          <w14:ligatures w14:val="none"/>
        </w:rPr>
        <w:br/>
      </w:r>
      <w:r w:rsidRPr="000E436A">
        <w:rPr>
          <w:rFonts w:ascii="Open Sans" w:eastAsia="Times New Roman" w:hAnsi="Open Sans" w:cs="Open Sans"/>
          <w:color w:val="333333"/>
          <w:kern w:val="0"/>
          <w14:ligatures w14:val="none"/>
        </w:rPr>
        <w:t>An accomplice to escape by a freedom seeker. He or she may help arrange an escape, serve as a “conductor,” or help those escaping. When the freedom seeker is caught, he or she might provide a lawyer or money for fines and bail, and/or arrange purchase from the slaveholder.</w:t>
      </w:r>
    </w:p>
    <w:p w14:paraId="5B6A70CA"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Personal Liberty Laws</w:t>
      </w:r>
      <w:r w:rsidRPr="000E436A">
        <w:rPr>
          <w:rFonts w:ascii="Open Sans" w:eastAsia="Times New Roman" w:hAnsi="Open Sans" w:cs="Open Sans"/>
          <w:b/>
          <w:bCs/>
          <w:color w:val="333333"/>
          <w:kern w:val="0"/>
          <w14:ligatures w14:val="none"/>
        </w:rPr>
        <w:br/>
      </w:r>
      <w:r w:rsidRPr="000E436A">
        <w:rPr>
          <w:rFonts w:ascii="Open Sans" w:eastAsia="Times New Roman" w:hAnsi="Open Sans" w:cs="Open Sans"/>
          <w:color w:val="333333"/>
          <w:kern w:val="0"/>
          <w14:ligatures w14:val="none"/>
        </w:rPr>
        <w:t>These laws for rights like habeas corpus, trial by jury, and protections from seizure defended those escaping, in direct opposition to the Fugitive Slave Acts of 1793 and 1850. Northern states like Indiana enacted laws providing these rights to freedom seekers starting as early as 1824. Such laws show the growing resistance to slavery in the North. Due to the cases of Ableman v. Booth and the United States v. Booth, the state of Wisconsin acted to nullify the decision of the Supreme Court whose southern Justices found personal liberty laws unconstitutional.</w:t>
      </w:r>
    </w:p>
    <w:p w14:paraId="1D75E601"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Redemption</w:t>
      </w:r>
      <w:r w:rsidRPr="000E436A">
        <w:rPr>
          <w:rFonts w:ascii="Open Sans" w:eastAsia="Times New Roman" w:hAnsi="Open Sans" w:cs="Open Sans"/>
          <w:b/>
          <w:bCs/>
          <w:color w:val="333333"/>
          <w:kern w:val="0"/>
          <w14:ligatures w14:val="none"/>
        </w:rPr>
        <w:br/>
      </w:r>
      <w:r w:rsidRPr="000E436A">
        <w:rPr>
          <w:rFonts w:ascii="Open Sans" w:eastAsia="Times New Roman" w:hAnsi="Open Sans" w:cs="Open Sans"/>
          <w:color w:val="333333"/>
          <w:kern w:val="0"/>
          <w14:ligatures w14:val="none"/>
        </w:rPr>
        <w:t>Enslaved African Americans who were purchased by others in order to free them. The idea is that the people were “redeemed” from slavery. Some freedom seekers did not want their freedom, a God-given right, if it had to be bought. They preferred to risk recapture.</w:t>
      </w:r>
    </w:p>
    <w:p w14:paraId="4F056810"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Runaway, escapees</w:t>
      </w:r>
      <w:r w:rsidRPr="000E436A">
        <w:rPr>
          <w:rFonts w:ascii="Open Sans" w:eastAsia="Times New Roman" w:hAnsi="Open Sans" w:cs="Open Sans"/>
          <w:color w:val="333333"/>
          <w:kern w:val="0"/>
          <w14:ligatures w14:val="none"/>
        </w:rPr>
        <w:br/>
        <w:t>Terms such as “runaway” and “escapees” refer to freedom seekers. Like “fugitive,” the terms tend to disparage the freedom seeker. “Runaway” conjures up the image of a discontent adolescent, while “escapee” is linked to “fugitive,” evoking the image of a guilty law breaker deserving of capture and punishment.</w:t>
      </w:r>
    </w:p>
    <w:p w14:paraId="1D761464"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Slave</w:t>
      </w:r>
      <w:r w:rsidRPr="000E436A">
        <w:rPr>
          <w:rFonts w:ascii="Open Sans" w:eastAsia="Times New Roman" w:hAnsi="Open Sans" w:cs="Open Sans"/>
          <w:b/>
          <w:bCs/>
          <w:color w:val="333333"/>
          <w:kern w:val="0"/>
          <w14:ligatures w14:val="none"/>
        </w:rPr>
        <w:br/>
      </w:r>
      <w:r w:rsidRPr="000E436A">
        <w:rPr>
          <w:rFonts w:ascii="Open Sans" w:eastAsia="Times New Roman" w:hAnsi="Open Sans" w:cs="Open Sans"/>
          <w:color w:val="333333"/>
          <w:kern w:val="0"/>
          <w14:ligatures w14:val="none"/>
        </w:rPr>
        <w:t>The historical term for human beings held in bondage and forced to perform labor or services against their will under threat of physical mistreatment or death. For the general purposes of the NPS Underground Railroad website, which by no means encompass all historical references to “slave and enslaved,” the terms refer to the tens of millions of kidnapped Africans transported to the Americas, and held in bondage from the sixteenth century through the American Civil War.</w:t>
      </w:r>
    </w:p>
    <w:p w14:paraId="55F90D5A"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color w:val="333333"/>
          <w:kern w:val="0"/>
          <w14:ligatures w14:val="none"/>
        </w:rPr>
        <w:t>Special focus is placed on the escaped slave, or freedom seeker in North America, as well as the historic Underground Railroad, a powerful tool of resistance created by freedom seekers and abolitionist allies. This term, however, refers to status African American from the viewpoint of slaveholding society, especially when a freedom seeker is referred to as an “escaped slave.”</w:t>
      </w:r>
    </w:p>
    <w:p w14:paraId="4E822B68"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color w:val="333333"/>
          <w:kern w:val="0"/>
          <w14:ligatures w14:val="none"/>
        </w:rPr>
        <w:lastRenderedPageBreak/>
        <w:t>Freedom seeker illustrates the African American decision to wrest control of his or her status from the slaveholder to one of their own choosing. Further, the use of the term “slave” to describe African Americans indicates that the individual accepted the term as a definition of their own humanity. “Enslaved,” meanwhile, demonstrates the condition of the individual within the class and economic system of the dominant society, and less of an internalized, or intellectual condition.</w:t>
      </w:r>
    </w:p>
    <w:p w14:paraId="72C81C54"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Slaveholders</w:t>
      </w:r>
      <w:r w:rsidRPr="000E436A">
        <w:rPr>
          <w:rFonts w:ascii="Open Sans" w:eastAsia="Times New Roman" w:hAnsi="Open Sans" w:cs="Open Sans"/>
          <w:color w:val="333333"/>
          <w:kern w:val="0"/>
          <w14:ligatures w14:val="none"/>
        </w:rPr>
        <w:br/>
        <w:t>The term “slaveholder” best describes the non-regional character of North American Slavery. Too often, the term “slaveholder” is used synonymously with the term “Southerner.” Certainly, slavery was widespread throughout the American South, more so than any other part of the United States.</w:t>
      </w:r>
      <w:r w:rsidRPr="000E436A">
        <w:rPr>
          <w:rFonts w:ascii="Open Sans" w:eastAsia="Times New Roman" w:hAnsi="Open Sans" w:cs="Open Sans"/>
          <w:color w:val="333333"/>
          <w:kern w:val="0"/>
          <w14:ligatures w14:val="none"/>
        </w:rPr>
        <w:br/>
      </w:r>
      <w:r w:rsidRPr="000E436A">
        <w:rPr>
          <w:rFonts w:ascii="Open Sans" w:eastAsia="Times New Roman" w:hAnsi="Open Sans" w:cs="Open Sans"/>
          <w:color w:val="333333"/>
          <w:kern w:val="0"/>
          <w14:ligatures w14:val="none"/>
        </w:rPr>
        <w:br/>
        <w:t>Yet so widespread was the institution of slavery that slaveholders could transport their property into free lands, especially after the Dred Scott decision, and use that property as they would in slave states. Further, U.S. citizens of all regions owned human property, not only Southerners, and creates the false impression that Southerners were the only slaveholders while Northerners created and supported the Underground Railroad.</w:t>
      </w:r>
      <w:r w:rsidRPr="000E436A">
        <w:rPr>
          <w:rFonts w:ascii="Open Sans" w:eastAsia="Times New Roman" w:hAnsi="Open Sans" w:cs="Open Sans"/>
          <w:color w:val="333333"/>
          <w:kern w:val="0"/>
          <w14:ligatures w14:val="none"/>
        </w:rPr>
        <w:br/>
      </w:r>
      <w:r w:rsidRPr="000E436A">
        <w:rPr>
          <w:rFonts w:ascii="Open Sans" w:eastAsia="Times New Roman" w:hAnsi="Open Sans" w:cs="Open Sans"/>
          <w:color w:val="333333"/>
          <w:kern w:val="0"/>
          <w14:ligatures w14:val="none"/>
        </w:rPr>
        <w:br/>
        <w:t>To regionalize slavery, to draw definite borders around so fluid an institution, only serves to limit a broader, perhaps borderless conceptualization of slavery, freedom seekers, and the Underground Railroad.</w:t>
      </w:r>
    </w:p>
    <w:p w14:paraId="01F3C3C5"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Slave Patrol</w:t>
      </w:r>
      <w:r w:rsidRPr="000E436A">
        <w:rPr>
          <w:rFonts w:ascii="Open Sans" w:eastAsia="Times New Roman" w:hAnsi="Open Sans" w:cs="Open Sans"/>
          <w:b/>
          <w:bCs/>
          <w:color w:val="333333"/>
          <w:kern w:val="0"/>
          <w14:ligatures w14:val="none"/>
        </w:rPr>
        <w:br/>
      </w:r>
      <w:r w:rsidRPr="000E436A">
        <w:rPr>
          <w:rFonts w:ascii="Open Sans" w:eastAsia="Times New Roman" w:hAnsi="Open Sans" w:cs="Open Sans"/>
          <w:color w:val="333333"/>
          <w:kern w:val="0"/>
          <w14:ligatures w14:val="none"/>
        </w:rPr>
        <w:t>Formed by state militias and county courts or by plantation owners themselves, these groups of men were responsible for avoiding crime by blacks and keeping enslaved African Americans in their place. Members might be poor whites or wealthier property owners. Mounted on horses, they were often armed with guns, whips, and clubs, and not afraid to be brutal. They would stop blacks and demand “passes” or other forms of identification to demonstrate that the blacks were not freedom seekers. Slave patrols had the right to search slave quarters. Some called them “patrollers” or “patty rollers.” They were feared, especially if provoked.</w:t>
      </w:r>
    </w:p>
    <w:p w14:paraId="7FAA1CC7"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Slavery</w:t>
      </w:r>
      <w:r w:rsidRPr="000E436A">
        <w:rPr>
          <w:rFonts w:ascii="Open Sans" w:eastAsia="Times New Roman" w:hAnsi="Open Sans" w:cs="Open Sans"/>
          <w:b/>
          <w:bCs/>
          <w:color w:val="333333"/>
          <w:kern w:val="0"/>
          <w14:ligatures w14:val="none"/>
        </w:rPr>
        <w:br/>
      </w:r>
      <w:proofErr w:type="spellStart"/>
      <w:r w:rsidRPr="000E436A">
        <w:rPr>
          <w:rFonts w:ascii="Open Sans" w:eastAsia="Times New Roman" w:hAnsi="Open Sans" w:cs="Open Sans"/>
          <w:color w:val="333333"/>
          <w:kern w:val="0"/>
          <w14:ligatures w14:val="none"/>
        </w:rPr>
        <w:t>Slavery</w:t>
      </w:r>
      <w:proofErr w:type="spellEnd"/>
      <w:r w:rsidRPr="000E436A">
        <w:rPr>
          <w:rFonts w:ascii="Open Sans" w:eastAsia="Times New Roman" w:hAnsi="Open Sans" w:cs="Open Sans"/>
          <w:color w:val="333333"/>
          <w:kern w:val="0"/>
          <w14:ligatures w14:val="none"/>
        </w:rPr>
        <w:t xml:space="preserve"> is any system in which principles of property law are applied to people, allowing individuals to own, buy and sell other individuals, as a </w:t>
      </w:r>
      <w:r w:rsidRPr="000E436A">
        <w:rPr>
          <w:rFonts w:ascii="Open Sans" w:eastAsia="Times New Roman" w:hAnsi="Open Sans" w:cs="Open Sans"/>
          <w:i/>
          <w:iCs/>
          <w:color w:val="333333"/>
          <w:kern w:val="0"/>
          <w14:ligatures w14:val="none"/>
        </w:rPr>
        <w:t>de jure</w:t>
      </w:r>
      <w:r w:rsidRPr="000E436A">
        <w:rPr>
          <w:rFonts w:ascii="Open Sans" w:eastAsia="Times New Roman" w:hAnsi="Open Sans" w:cs="Open Sans"/>
          <w:color w:val="333333"/>
          <w:kern w:val="0"/>
          <w14:ligatures w14:val="none"/>
        </w:rPr>
        <w:t> form of property. An enslaved person is unable to withdraw unilaterally from such an arrangement and works without renumeration. Many scholars now use the term chattel slavery to refer to this specific sense of legalized, </w:t>
      </w:r>
      <w:r w:rsidRPr="000E436A">
        <w:rPr>
          <w:rFonts w:ascii="Open Sans" w:eastAsia="Times New Roman" w:hAnsi="Open Sans" w:cs="Open Sans"/>
          <w:i/>
          <w:iCs/>
          <w:color w:val="333333"/>
          <w:kern w:val="0"/>
          <w14:ligatures w14:val="none"/>
        </w:rPr>
        <w:t>de jure</w:t>
      </w:r>
      <w:r w:rsidRPr="000E436A">
        <w:rPr>
          <w:rFonts w:ascii="Open Sans" w:eastAsia="Times New Roman" w:hAnsi="Open Sans" w:cs="Open Sans"/>
          <w:color w:val="333333"/>
          <w:kern w:val="0"/>
          <w14:ligatures w14:val="none"/>
        </w:rPr>
        <w:t xml:space="preserve"> slavery. In a </w:t>
      </w:r>
      <w:r w:rsidRPr="000E436A">
        <w:rPr>
          <w:rFonts w:ascii="Open Sans" w:eastAsia="Times New Roman" w:hAnsi="Open Sans" w:cs="Open Sans"/>
          <w:color w:val="333333"/>
          <w:kern w:val="0"/>
          <w14:ligatures w14:val="none"/>
        </w:rPr>
        <w:lastRenderedPageBreak/>
        <w:t>broader sense, however, the word slavery may also refer to any situation in which an individual is </w:t>
      </w:r>
      <w:r w:rsidRPr="000E436A">
        <w:rPr>
          <w:rFonts w:ascii="Open Sans" w:eastAsia="Times New Roman" w:hAnsi="Open Sans" w:cs="Open Sans"/>
          <w:i/>
          <w:iCs/>
          <w:color w:val="333333"/>
          <w:kern w:val="0"/>
          <w14:ligatures w14:val="none"/>
        </w:rPr>
        <w:t>de facto</w:t>
      </w:r>
      <w:r w:rsidRPr="000E436A">
        <w:rPr>
          <w:rFonts w:ascii="Open Sans" w:eastAsia="Times New Roman" w:hAnsi="Open Sans" w:cs="Open Sans"/>
          <w:color w:val="333333"/>
          <w:kern w:val="0"/>
          <w14:ligatures w14:val="none"/>
        </w:rPr>
        <w:t> forced to work against their own will.</w:t>
      </w:r>
    </w:p>
    <w:p w14:paraId="3C1EF1AF"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Station</w:t>
      </w:r>
      <w:r w:rsidRPr="000E436A">
        <w:rPr>
          <w:rFonts w:ascii="Open Sans" w:eastAsia="Times New Roman" w:hAnsi="Open Sans" w:cs="Open Sans"/>
          <w:color w:val="333333"/>
          <w:kern w:val="0"/>
          <w14:ligatures w14:val="none"/>
        </w:rPr>
        <w:br/>
        <w:t>The “station” provided a haven for traveling freedom seekers, was secured by the stationmaster, and took many forms. Stations might be basements, cabins, homes, barns or caves, or any other site that provided an element of security while giving the freedom seeker an opportunity for rest and provisions.</w:t>
      </w:r>
    </w:p>
    <w:p w14:paraId="0A2AAD01"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Stationmaster</w:t>
      </w:r>
      <w:r w:rsidRPr="000E436A">
        <w:rPr>
          <w:rFonts w:ascii="Open Sans" w:eastAsia="Times New Roman" w:hAnsi="Open Sans" w:cs="Open Sans"/>
          <w:color w:val="333333"/>
          <w:kern w:val="0"/>
          <w14:ligatures w14:val="none"/>
        </w:rPr>
        <w:br/>
        <w:t>An individual who provided shelter or a hiding place to freedom seekers. Shelter need not be in the dwelling of the stationmaster but could be a refuge of any sort, which was the responsibility of the stationmaster. The stationmaster served as a clearinghouse for information regarding safe routes and nearby pursuit of freedom seekers and coordinated with conductors and other stationmasters to provide safe passage for freedom seekers upon departure from that station.</w:t>
      </w:r>
    </w:p>
    <w:p w14:paraId="223BBE74"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b/>
          <w:bCs/>
          <w:color w:val="333333"/>
          <w:kern w:val="0"/>
          <w14:ligatures w14:val="none"/>
        </w:rPr>
        <w:t>Term Slavery</w:t>
      </w:r>
      <w:r w:rsidRPr="000E436A">
        <w:rPr>
          <w:rFonts w:ascii="Open Sans" w:eastAsia="Times New Roman" w:hAnsi="Open Sans" w:cs="Open Sans"/>
          <w:b/>
          <w:bCs/>
          <w:color w:val="333333"/>
          <w:kern w:val="0"/>
          <w14:ligatures w14:val="none"/>
        </w:rPr>
        <w:br/>
      </w:r>
      <w:r w:rsidRPr="000E436A">
        <w:rPr>
          <w:rFonts w:ascii="Open Sans" w:eastAsia="Times New Roman" w:hAnsi="Open Sans" w:cs="Open Sans"/>
          <w:color w:val="333333"/>
          <w:kern w:val="0"/>
          <w14:ligatures w14:val="none"/>
        </w:rPr>
        <w:t>During the eighteenth and nineteenth centuries, “term slavery” meant that an African American was not enslaved for life, but for a set number of years. At the end of the set term, the individual was to be freed. If sold, the restricted number of years of slavery was to be honored. Unfortunately, the distinction between “term” and “slave for life” was not always respected.</w:t>
      </w:r>
    </w:p>
    <w:p w14:paraId="69063FBB" w14:textId="77777777" w:rsidR="000E436A" w:rsidRPr="000E436A" w:rsidRDefault="000E436A" w:rsidP="000E436A">
      <w:pPr>
        <w:spacing w:before="270" w:after="270" w:line="240" w:lineRule="auto"/>
        <w:rPr>
          <w:rFonts w:ascii="Open Sans" w:eastAsia="Times New Roman" w:hAnsi="Open Sans" w:cs="Open Sans"/>
          <w:color w:val="333333"/>
          <w:kern w:val="0"/>
          <w14:ligatures w14:val="none"/>
        </w:rPr>
      </w:pPr>
      <w:r w:rsidRPr="000E436A">
        <w:rPr>
          <w:rFonts w:ascii="Open Sans" w:eastAsia="Times New Roman" w:hAnsi="Open Sans" w:cs="Open Sans"/>
          <w:color w:val="333333"/>
          <w:kern w:val="0"/>
          <w14:ligatures w14:val="none"/>
        </w:rPr>
        <w:t>Added November 2019.</w:t>
      </w:r>
    </w:p>
    <w:p w14:paraId="22BB2FF4" w14:textId="77777777" w:rsidR="000E436A" w:rsidRDefault="000E436A"/>
    <w:sectPr w:rsidR="000E43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Open Sans">
    <w:panose1 w:val="020B0606030504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36A"/>
    <w:rsid w:val="000E436A"/>
    <w:rsid w:val="00A83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597CAD"/>
  <w15:chartTrackingRefBased/>
  <w15:docId w15:val="{5B29E2D9-FCDD-8342-92FD-041E1BB54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43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E43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43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43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43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43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3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3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3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3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E43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43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3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3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3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3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3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36A"/>
    <w:rPr>
      <w:rFonts w:eastAsiaTheme="majorEastAsia" w:cstheme="majorBidi"/>
      <w:color w:val="272727" w:themeColor="text1" w:themeTint="D8"/>
    </w:rPr>
  </w:style>
  <w:style w:type="paragraph" w:styleId="Title">
    <w:name w:val="Title"/>
    <w:basedOn w:val="Normal"/>
    <w:next w:val="Normal"/>
    <w:link w:val="TitleChar"/>
    <w:uiPriority w:val="10"/>
    <w:qFormat/>
    <w:rsid w:val="000E43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43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3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43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36A"/>
    <w:pPr>
      <w:spacing w:before="160"/>
      <w:jc w:val="center"/>
    </w:pPr>
    <w:rPr>
      <w:i/>
      <w:iCs/>
      <w:color w:val="404040" w:themeColor="text1" w:themeTint="BF"/>
    </w:rPr>
  </w:style>
  <w:style w:type="character" w:customStyle="1" w:styleId="QuoteChar">
    <w:name w:val="Quote Char"/>
    <w:basedOn w:val="DefaultParagraphFont"/>
    <w:link w:val="Quote"/>
    <w:uiPriority w:val="29"/>
    <w:rsid w:val="000E436A"/>
    <w:rPr>
      <w:i/>
      <w:iCs/>
      <w:color w:val="404040" w:themeColor="text1" w:themeTint="BF"/>
    </w:rPr>
  </w:style>
  <w:style w:type="paragraph" w:styleId="ListParagraph">
    <w:name w:val="List Paragraph"/>
    <w:basedOn w:val="Normal"/>
    <w:uiPriority w:val="34"/>
    <w:qFormat/>
    <w:rsid w:val="000E436A"/>
    <w:pPr>
      <w:ind w:left="720"/>
      <w:contextualSpacing/>
    </w:pPr>
  </w:style>
  <w:style w:type="character" w:styleId="IntenseEmphasis">
    <w:name w:val="Intense Emphasis"/>
    <w:basedOn w:val="DefaultParagraphFont"/>
    <w:uiPriority w:val="21"/>
    <w:qFormat/>
    <w:rsid w:val="000E436A"/>
    <w:rPr>
      <w:i/>
      <w:iCs/>
      <w:color w:val="0F4761" w:themeColor="accent1" w:themeShade="BF"/>
    </w:rPr>
  </w:style>
  <w:style w:type="paragraph" w:styleId="IntenseQuote">
    <w:name w:val="Intense Quote"/>
    <w:basedOn w:val="Normal"/>
    <w:next w:val="Normal"/>
    <w:link w:val="IntenseQuoteChar"/>
    <w:uiPriority w:val="30"/>
    <w:qFormat/>
    <w:rsid w:val="000E43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436A"/>
    <w:rPr>
      <w:i/>
      <w:iCs/>
      <w:color w:val="0F4761" w:themeColor="accent1" w:themeShade="BF"/>
    </w:rPr>
  </w:style>
  <w:style w:type="character" w:styleId="IntenseReference">
    <w:name w:val="Intense Reference"/>
    <w:basedOn w:val="DefaultParagraphFont"/>
    <w:uiPriority w:val="32"/>
    <w:qFormat/>
    <w:rsid w:val="000E436A"/>
    <w:rPr>
      <w:b/>
      <w:bCs/>
      <w:smallCaps/>
      <w:color w:val="0F4761" w:themeColor="accent1" w:themeShade="BF"/>
      <w:spacing w:val="5"/>
    </w:rPr>
  </w:style>
  <w:style w:type="paragraph" w:styleId="NormalWeb">
    <w:name w:val="Normal (Web)"/>
    <w:basedOn w:val="Normal"/>
    <w:uiPriority w:val="99"/>
    <w:semiHidden/>
    <w:unhideWhenUsed/>
    <w:rsid w:val="000E436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0E436A"/>
  </w:style>
  <w:style w:type="character" w:styleId="Emphasis">
    <w:name w:val="Emphasis"/>
    <w:basedOn w:val="DefaultParagraphFont"/>
    <w:uiPriority w:val="20"/>
    <w:qFormat/>
    <w:rsid w:val="000E436A"/>
    <w:rPr>
      <w:i/>
      <w:iCs/>
    </w:rPr>
  </w:style>
  <w:style w:type="character" w:styleId="Strong">
    <w:name w:val="Strong"/>
    <w:basedOn w:val="DefaultParagraphFont"/>
    <w:uiPriority w:val="22"/>
    <w:qFormat/>
    <w:rsid w:val="000E43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1538</Words>
  <Characters>8772</Characters>
  <Application>Microsoft Office Word</Application>
  <DocSecurity>0</DocSecurity>
  <Lines>73</Lines>
  <Paragraphs>20</Paragraphs>
  <ScaleCrop>false</ScaleCrop>
  <Company/>
  <LinksUpToDate>false</LinksUpToDate>
  <CharactersWithSpaces>10290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Ater</dc:creator>
  <cp:keywords/>
  <dc:description/>
  <cp:lastModifiedBy>Renee Ater</cp:lastModifiedBy>
  <cp:revision>1</cp:revision>
  <dcterms:created xsi:type="dcterms:W3CDTF">2026-01-28T20:46:00Z</dcterms:created>
  <dcterms:modified xsi:type="dcterms:W3CDTF">2026-01-28T20:46:00Z</dcterms:modified>
</cp:coreProperties>
</file>